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68" w:rsidRDefault="00071A68" w:rsidP="00071A68">
      <w:pPr>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Постановление Правительства РФ от 5 июля 2019 г. N 860 "Об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обувных товаров"</w:t>
      </w:r>
    </w:p>
    <w:p w:rsidR="00071A68" w:rsidRDefault="00071A68" w:rsidP="00071A68">
      <w:pPr>
        <w:rPr>
          <w:rFonts w:ascii="Times New Roman" w:hAnsi="Times New Roman" w:cs="Times New Roman"/>
          <w:color w:val="000000"/>
          <w:sz w:val="26"/>
          <w:szCs w:val="26"/>
        </w:rPr>
      </w:pPr>
      <w:r>
        <w:rPr>
          <w:rFonts w:ascii="Times New Roman" w:hAnsi="Times New Roman" w:cs="Times New Roman"/>
          <w:color w:val="000000"/>
          <w:sz w:val="26"/>
          <w:szCs w:val="26"/>
        </w:rPr>
        <w:t>Появились правила маркировки обуви.</w:t>
      </w:r>
    </w:p>
    <w:p w:rsidR="00071A68" w:rsidRDefault="00071A68" w:rsidP="00071A68">
      <w:pPr>
        <w:rPr>
          <w:rFonts w:ascii="Times New Roman" w:hAnsi="Times New Roman" w:cs="Times New Roman"/>
          <w:color w:val="000000"/>
          <w:sz w:val="26"/>
          <w:szCs w:val="26"/>
        </w:rPr>
      </w:pPr>
      <w:r>
        <w:rPr>
          <w:rFonts w:ascii="Times New Roman" w:hAnsi="Times New Roman" w:cs="Times New Roman"/>
          <w:color w:val="000000"/>
          <w:sz w:val="26"/>
          <w:szCs w:val="26"/>
        </w:rPr>
        <w:t>Правительство РФ урегулировало вопросы маркировки обуви средствами идентификации, определило порядок внедрения государственной информационной системы мониторинга за оборотом товаров.</w:t>
      </w:r>
    </w:p>
    <w:p w:rsidR="00071A68" w:rsidRDefault="00071A68" w:rsidP="00071A68">
      <w:pPr>
        <w:rPr>
          <w:rFonts w:ascii="Times New Roman" w:hAnsi="Times New Roman" w:cs="Times New Roman"/>
          <w:color w:val="000000"/>
          <w:sz w:val="26"/>
          <w:szCs w:val="26"/>
        </w:rPr>
      </w:pPr>
      <w:r>
        <w:rPr>
          <w:rFonts w:ascii="Times New Roman" w:hAnsi="Times New Roman" w:cs="Times New Roman"/>
          <w:color w:val="000000"/>
          <w:sz w:val="26"/>
          <w:szCs w:val="26"/>
        </w:rPr>
        <w:t>Участники оборота товаров должны зарегистрироваться в системе с 1 июля по 30 сентября 2019 г. (включительно) либо после 30 сентября 2019 г. в течение 7 календарных дней со дня введения товаров в оборот и их реализации.</w:t>
      </w:r>
    </w:p>
    <w:p w:rsidR="00071A68" w:rsidRDefault="00071A68" w:rsidP="00071A68">
      <w:pPr>
        <w:rPr>
          <w:rFonts w:ascii="Times New Roman" w:hAnsi="Times New Roman" w:cs="Times New Roman"/>
          <w:color w:val="000000"/>
          <w:sz w:val="26"/>
          <w:szCs w:val="26"/>
        </w:rPr>
      </w:pPr>
      <w:r>
        <w:rPr>
          <w:rFonts w:ascii="Times New Roman" w:hAnsi="Times New Roman" w:cs="Times New Roman"/>
          <w:color w:val="000000"/>
          <w:sz w:val="26"/>
          <w:szCs w:val="26"/>
        </w:rPr>
        <w:t xml:space="preserve">Не позднее 30 календарных дней </w:t>
      </w:r>
      <w:proofErr w:type="gramStart"/>
      <w:r>
        <w:rPr>
          <w:rFonts w:ascii="Times New Roman" w:hAnsi="Times New Roman" w:cs="Times New Roman"/>
          <w:color w:val="000000"/>
          <w:sz w:val="26"/>
          <w:szCs w:val="26"/>
        </w:rPr>
        <w:t>с даты регистрации</w:t>
      </w:r>
      <w:proofErr w:type="gramEnd"/>
      <w:r>
        <w:rPr>
          <w:rFonts w:ascii="Times New Roman" w:hAnsi="Times New Roman" w:cs="Times New Roman"/>
          <w:color w:val="000000"/>
          <w:sz w:val="26"/>
          <w:szCs w:val="26"/>
        </w:rPr>
        <w:t xml:space="preserve"> субъекты обеспечивают готовность собственных программно-аппаратных средств к информационному взаимодействию с системой и направляют оператору заявку на тестирование оборудования.</w:t>
      </w:r>
    </w:p>
    <w:p w:rsidR="00071A68" w:rsidRDefault="00071A68" w:rsidP="00071A68">
      <w:pPr>
        <w:rPr>
          <w:rFonts w:ascii="Times New Roman" w:hAnsi="Times New Roman" w:cs="Times New Roman"/>
          <w:color w:val="000000"/>
          <w:sz w:val="26"/>
          <w:szCs w:val="26"/>
        </w:rPr>
      </w:pPr>
      <w:r>
        <w:rPr>
          <w:rFonts w:ascii="Times New Roman" w:hAnsi="Times New Roman" w:cs="Times New Roman"/>
          <w:color w:val="000000"/>
          <w:sz w:val="26"/>
          <w:szCs w:val="26"/>
        </w:rPr>
        <w:t>С 1 октября 2019 г. стартует добровольная маркировка обуви.</w:t>
      </w:r>
    </w:p>
    <w:p w:rsidR="00071A68" w:rsidRDefault="00071A68" w:rsidP="00071A68">
      <w:pPr>
        <w:rPr>
          <w:rFonts w:ascii="Times New Roman" w:hAnsi="Times New Roman" w:cs="Times New Roman"/>
          <w:color w:val="000000"/>
          <w:sz w:val="26"/>
          <w:szCs w:val="26"/>
        </w:rPr>
      </w:pPr>
      <w:r>
        <w:rPr>
          <w:rFonts w:ascii="Times New Roman" w:hAnsi="Times New Roman" w:cs="Times New Roman"/>
          <w:color w:val="000000"/>
          <w:sz w:val="26"/>
          <w:szCs w:val="26"/>
        </w:rPr>
        <w:t>1 марта 2020 г. маркировка станет обязательной как для новых партий обуви, так и для остатков.</w:t>
      </w:r>
    </w:p>
    <w:p w:rsidR="00071A68" w:rsidRDefault="00071A68" w:rsidP="00071A68">
      <w:pPr>
        <w:rPr>
          <w:rFonts w:ascii="Times New Roman" w:hAnsi="Times New Roman" w:cs="Times New Roman"/>
          <w:color w:val="000000"/>
          <w:sz w:val="26"/>
          <w:szCs w:val="26"/>
        </w:rPr>
      </w:pPr>
      <w:r>
        <w:rPr>
          <w:rFonts w:ascii="Times New Roman" w:hAnsi="Times New Roman" w:cs="Times New Roman"/>
          <w:color w:val="000000"/>
          <w:sz w:val="26"/>
          <w:szCs w:val="26"/>
        </w:rPr>
        <w:t>Постановление вступает в силу со дня опубликования.</w:t>
      </w:r>
    </w:p>
    <w:p w:rsidR="00071A68" w:rsidRDefault="00071A68" w:rsidP="00071A68">
      <w:pPr>
        <w:rPr>
          <w:rFonts w:ascii="Times New Roman" w:hAnsi="Times New Roman" w:cs="Times New Roman"/>
          <w:color w:val="000000"/>
          <w:sz w:val="26"/>
          <w:szCs w:val="26"/>
        </w:rPr>
      </w:pPr>
      <w:r>
        <w:rPr>
          <w:rFonts w:ascii="Times New Roman" w:hAnsi="Times New Roman" w:cs="Times New Roman"/>
          <w:color w:val="000000"/>
          <w:sz w:val="26"/>
          <w:szCs w:val="26"/>
        </w:rPr>
        <w:t>ГАРАНТ</w:t>
      </w:r>
      <w:proofErr w:type="gramStart"/>
      <w:r>
        <w:rPr>
          <w:rFonts w:ascii="Times New Roman" w:hAnsi="Times New Roman" w:cs="Times New Roman"/>
          <w:color w:val="000000"/>
          <w:sz w:val="26"/>
          <w:szCs w:val="26"/>
        </w:rPr>
        <w:t>.Р</w:t>
      </w:r>
      <w:proofErr w:type="gramEnd"/>
      <w:r>
        <w:rPr>
          <w:rFonts w:ascii="Times New Roman" w:hAnsi="Times New Roman" w:cs="Times New Roman"/>
          <w:color w:val="000000"/>
          <w:sz w:val="26"/>
          <w:szCs w:val="26"/>
        </w:rPr>
        <w:t xml:space="preserve">У: </w:t>
      </w:r>
      <w:hyperlink r:id="rId6" w:anchor="ixzz5tgKV5NfD" w:history="1">
        <w:r>
          <w:rPr>
            <w:rStyle w:val="a3"/>
            <w:rFonts w:ascii="Times New Roman" w:hAnsi="Times New Roman" w:cs="Times New Roman"/>
            <w:sz w:val="26"/>
            <w:szCs w:val="26"/>
          </w:rPr>
          <w:t>http://www.garant.ru/hotlaw/important/#ixzz5tgKV5NfD</w:t>
        </w:r>
      </w:hyperlink>
    </w:p>
    <w:p w:rsidR="00071A68" w:rsidRDefault="00071A68" w:rsidP="00071A68">
      <w:pPr>
        <w:rPr>
          <w:rFonts w:ascii="Times New Roman" w:hAnsi="Times New Roman" w:cs="Times New Roman"/>
          <w:b/>
          <w:bCs/>
          <w:color w:val="7030A0"/>
          <w:sz w:val="26"/>
          <w:szCs w:val="26"/>
          <w:u w:val="single"/>
        </w:rPr>
      </w:pPr>
    </w:p>
    <w:p w:rsidR="00071A68" w:rsidRDefault="00071A68" w:rsidP="00071A68">
      <w:pPr>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 xml:space="preserve">В Госдуму внесен законопроект о цифровом профиле граждан и </w:t>
      </w:r>
      <w:proofErr w:type="spellStart"/>
      <w:r>
        <w:rPr>
          <w:rFonts w:ascii="Times New Roman" w:hAnsi="Times New Roman" w:cs="Times New Roman"/>
          <w:b/>
          <w:bCs/>
          <w:color w:val="7030A0"/>
          <w:sz w:val="26"/>
          <w:szCs w:val="26"/>
          <w:u w:val="single"/>
        </w:rPr>
        <w:t>юрлиц</w:t>
      </w:r>
      <w:proofErr w:type="spellEnd"/>
    </w:p>
    <w:p w:rsidR="00071A68" w:rsidRDefault="00071A68" w:rsidP="00071A68">
      <w:pPr>
        <w:rPr>
          <w:rFonts w:ascii="Times New Roman" w:hAnsi="Times New Roman" w:cs="Times New Roman"/>
          <w:sz w:val="26"/>
          <w:szCs w:val="26"/>
        </w:rPr>
      </w:pPr>
      <w:r>
        <w:rPr>
          <w:rFonts w:ascii="Times New Roman" w:hAnsi="Times New Roman" w:cs="Times New Roman"/>
          <w:sz w:val="26"/>
          <w:szCs w:val="26"/>
        </w:rPr>
        <w:t>8 июля 2019</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xml:space="preserve">Предлагается дополнить Федеральный закон от 27 июля 2006 г. № 149-ФЗ "Об информации, информационных технологиях и о защите информации" новой статьей, посвященной правовому регулированию цифрового профиля. Под таковым понимается совокупность сведений о гражданах и </w:t>
      </w:r>
      <w:proofErr w:type="spellStart"/>
      <w:r>
        <w:rPr>
          <w:rFonts w:ascii="Times New Roman" w:hAnsi="Times New Roman" w:cs="Times New Roman"/>
          <w:sz w:val="26"/>
          <w:szCs w:val="26"/>
        </w:rPr>
        <w:t>юрлицах</w:t>
      </w:r>
      <w:proofErr w:type="spellEnd"/>
      <w:r>
        <w:rPr>
          <w:rFonts w:ascii="Times New Roman" w:hAnsi="Times New Roman" w:cs="Times New Roman"/>
          <w:sz w:val="26"/>
          <w:szCs w:val="26"/>
        </w:rPr>
        <w:t>, содержащихся в информационных системах государственных органов, органов местного самоуправления и организаций, осуществляющих отдельные публичные полномочия, а также в единой системе идентификац</w:t>
      </w:r>
      <w:proofErr w:type="gramStart"/>
      <w:r>
        <w:rPr>
          <w:rFonts w:ascii="Times New Roman" w:hAnsi="Times New Roman" w:cs="Times New Roman"/>
          <w:sz w:val="26"/>
          <w:szCs w:val="26"/>
        </w:rPr>
        <w:t>ии и ау</w:t>
      </w:r>
      <w:proofErr w:type="gramEnd"/>
      <w:r>
        <w:rPr>
          <w:rFonts w:ascii="Times New Roman" w:hAnsi="Times New Roman" w:cs="Times New Roman"/>
          <w:sz w:val="26"/>
          <w:szCs w:val="26"/>
        </w:rPr>
        <w:t>тентификации. Инфраструктура цифрового профиля нацелена на обмен сведениями в электронной форме между физическими лицами, организациями, госорганами и органами местного самоуправления.</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Согласно поправкам инфраструктура цифрового профиля позволит обеспечивать:</w:t>
      </w:r>
    </w:p>
    <w:p w:rsidR="00071A68" w:rsidRDefault="00071A68" w:rsidP="00071A68">
      <w:pPr>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идентификацию и аутентификацию физических и юридических лиц;</w:t>
      </w:r>
    </w:p>
    <w:p w:rsidR="00071A68" w:rsidRDefault="00071A68" w:rsidP="00071A68">
      <w:pPr>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доступ к цифровому профилю и предоставление сведений из него в электронной форме физическим и юридическим лицам;</w:t>
      </w:r>
    </w:p>
    <w:p w:rsidR="00071A68" w:rsidRDefault="00071A68" w:rsidP="00071A68">
      <w:pPr>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предоставление и обновление по запросу органов власти, организаций, осуществляющих отдельные публичные полномочия, и иных организаций сведений о физическом или юридическом лице, содержащихся в цифровом профиле;</w:t>
      </w:r>
    </w:p>
    <w:p w:rsidR="00071A68" w:rsidRDefault="00071A68" w:rsidP="00071A68">
      <w:pPr>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получение и отзыв согласия на обработку персональных данных граждан и сведений о </w:t>
      </w:r>
      <w:proofErr w:type="spellStart"/>
      <w:r>
        <w:rPr>
          <w:rFonts w:ascii="Times New Roman" w:eastAsia="Times New Roman" w:hAnsi="Times New Roman" w:cs="Times New Roman"/>
          <w:sz w:val="26"/>
          <w:szCs w:val="26"/>
        </w:rPr>
        <w:t>юрлицах</w:t>
      </w:r>
      <w:proofErr w:type="spellEnd"/>
      <w:r>
        <w:rPr>
          <w:rFonts w:ascii="Times New Roman" w:eastAsia="Times New Roman" w:hAnsi="Times New Roman" w:cs="Times New Roman"/>
          <w:sz w:val="26"/>
          <w:szCs w:val="26"/>
        </w:rPr>
        <w:t xml:space="preserve"> в случаях, предусматривающих получение сведений о гражданине или </w:t>
      </w:r>
      <w:proofErr w:type="spellStart"/>
      <w:r>
        <w:rPr>
          <w:rFonts w:ascii="Times New Roman" w:eastAsia="Times New Roman" w:hAnsi="Times New Roman" w:cs="Times New Roman"/>
          <w:sz w:val="26"/>
          <w:szCs w:val="26"/>
        </w:rPr>
        <w:t>юрлице</w:t>
      </w:r>
      <w:proofErr w:type="spellEnd"/>
      <w:r>
        <w:rPr>
          <w:rFonts w:ascii="Times New Roman" w:eastAsia="Times New Roman" w:hAnsi="Times New Roman" w:cs="Times New Roman"/>
          <w:sz w:val="26"/>
          <w:szCs w:val="26"/>
        </w:rPr>
        <w:t xml:space="preserve"> с использованием инфраструктуры цифрового профиля;</w:t>
      </w:r>
    </w:p>
    <w:p w:rsidR="00071A68" w:rsidRDefault="00071A68" w:rsidP="00071A68">
      <w:pPr>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предоставление сведений для формирования запросов на получение государственных и муниципальных услуг или исполнение государственных и муниципальных функций;</w:t>
      </w:r>
    </w:p>
    <w:p w:rsidR="00071A68" w:rsidRDefault="00071A68" w:rsidP="00071A68">
      <w:pPr>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хранение сведений о гражданах и </w:t>
      </w:r>
      <w:proofErr w:type="spellStart"/>
      <w:r>
        <w:rPr>
          <w:rFonts w:ascii="Times New Roman" w:eastAsia="Times New Roman" w:hAnsi="Times New Roman" w:cs="Times New Roman"/>
          <w:sz w:val="26"/>
          <w:szCs w:val="26"/>
        </w:rPr>
        <w:t>юрлицах</w:t>
      </w:r>
      <w:proofErr w:type="spellEnd"/>
      <w:r>
        <w:rPr>
          <w:rFonts w:ascii="Times New Roman" w:eastAsia="Times New Roman" w:hAnsi="Times New Roman" w:cs="Times New Roman"/>
          <w:sz w:val="26"/>
          <w:szCs w:val="26"/>
        </w:rPr>
        <w:t>, в т. ч. результатов предоставления государственных и муниципальных услуг в электронной форме.</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Законопроектом планируется регламентировать порядок идентификац</w:t>
      </w:r>
      <w:proofErr w:type="gramStart"/>
      <w:r>
        <w:rPr>
          <w:rFonts w:ascii="Times New Roman" w:hAnsi="Times New Roman" w:cs="Times New Roman"/>
          <w:sz w:val="26"/>
          <w:szCs w:val="26"/>
        </w:rPr>
        <w:t>ии и ау</w:t>
      </w:r>
      <w:proofErr w:type="gramEnd"/>
      <w:r>
        <w:rPr>
          <w:rFonts w:ascii="Times New Roman" w:hAnsi="Times New Roman" w:cs="Times New Roman"/>
          <w:sz w:val="26"/>
          <w:szCs w:val="26"/>
        </w:rPr>
        <w:t>тентификации лица. Предусмотрена возможность идентификац</w:t>
      </w:r>
      <w:proofErr w:type="gramStart"/>
      <w:r>
        <w:rPr>
          <w:rFonts w:ascii="Times New Roman" w:hAnsi="Times New Roman" w:cs="Times New Roman"/>
          <w:sz w:val="26"/>
          <w:szCs w:val="26"/>
        </w:rPr>
        <w:t>ии и ау</w:t>
      </w:r>
      <w:proofErr w:type="gramEnd"/>
      <w:r>
        <w:rPr>
          <w:rFonts w:ascii="Times New Roman" w:hAnsi="Times New Roman" w:cs="Times New Roman"/>
          <w:sz w:val="26"/>
          <w:szCs w:val="26"/>
        </w:rPr>
        <w:t>тентификации лица с помощью удостоверения личности гражданина и других идентификаторов, позволяющих достоверно определить соответствующее физическое или юридическое лицо. Полномочия по установлению требований к идентификаторам и утверждению их перечня может получить Правительство РФ. При этом определен закрытый перечень лиц, уполномоченных подтверждать верность идентификатора или ранее проведенной идентификац</w:t>
      </w:r>
      <w:proofErr w:type="gramStart"/>
      <w:r>
        <w:rPr>
          <w:rFonts w:ascii="Times New Roman" w:hAnsi="Times New Roman" w:cs="Times New Roman"/>
          <w:sz w:val="26"/>
          <w:szCs w:val="26"/>
        </w:rPr>
        <w:t>ии и ау</w:t>
      </w:r>
      <w:proofErr w:type="gramEnd"/>
      <w:r>
        <w:rPr>
          <w:rFonts w:ascii="Times New Roman" w:hAnsi="Times New Roman" w:cs="Times New Roman"/>
          <w:sz w:val="26"/>
          <w:szCs w:val="26"/>
        </w:rPr>
        <w:t>тентификации – кредитные организации, операторы подвижной радиотелефонной связи, операторы связи, занимающие существенное положение в сети связи общего пользования и самостоятельно оказывающие услуги связи по передаче данных, операторы государственных информационных систем, иные организации, соответствующие установленным требованиям.</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xml:space="preserve">Одновременно в Госдуму внесен законопроект, направленный на совершенствование регулирования в сфере электронной подписи. Он содержит нормы, регулирующие процедуры установления и проверки полномочий лица, использующего электронную подпись в различных информационных </w:t>
      </w:r>
      <w:proofErr w:type="gramStart"/>
      <w:r>
        <w:rPr>
          <w:rFonts w:ascii="Times New Roman" w:hAnsi="Times New Roman" w:cs="Times New Roman"/>
          <w:sz w:val="26"/>
          <w:szCs w:val="26"/>
        </w:rPr>
        <w:t>системах</w:t>
      </w:r>
      <w:proofErr w:type="gramEnd"/>
      <w:r>
        <w:rPr>
          <w:rFonts w:ascii="Times New Roman" w:hAnsi="Times New Roman" w:cs="Times New Roman"/>
          <w:sz w:val="26"/>
          <w:szCs w:val="26"/>
        </w:rPr>
        <w:t xml:space="preserve">. Вводится понятие метки доверенного времени – достоверной информации в электронной форме о дате и времени подписания электронного документа электронной подписью. Также предлагается внедрение и использование машиночитаемых доверенностей в </w:t>
      </w:r>
      <w:proofErr w:type="gramStart"/>
      <w:r>
        <w:rPr>
          <w:rFonts w:ascii="Times New Roman" w:hAnsi="Times New Roman" w:cs="Times New Roman"/>
          <w:sz w:val="26"/>
          <w:szCs w:val="26"/>
        </w:rPr>
        <w:t>целях</w:t>
      </w:r>
      <w:proofErr w:type="gramEnd"/>
      <w:r>
        <w:rPr>
          <w:rFonts w:ascii="Times New Roman" w:hAnsi="Times New Roman" w:cs="Times New Roman"/>
          <w:sz w:val="26"/>
          <w:szCs w:val="26"/>
        </w:rPr>
        <w:t xml:space="preserve"> подтверждения полномочий в цифровой среде.</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Ряд поправок касается полномочий удостоверяющих центров (УЦ) и требований к порядку их аккредитации и деятельности. УЦ могут получить полномочия по хранению ключа электронной подписи, ключ проверки которой содержится в квалифицированном сертификате с обеспечением его защиты от компрометации и несанкционированного использования. В данном случае речь идет и создании при помощи указанного ключа по поручению владельца квалифицированного сертификата электронной подписи с использованием средств электронной подписи, имеющих подтверждение соответствия установленным требованиям. Что касается правил аккредитации и деятельности УЦ, то планируется ввести высокий порог собственного капитала УЦ и высокий порог страховой ответственности деятельности УЦ, сократить срок аккредитации УЦ до трех лет, а также ввести административную ответственность за нарушения работы УЦ технического характера и уголовную – за заведомо умышленные действия сотрудников УЦ.</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xml:space="preserve">Данные изменения предлагаются к внесению и третьим законопроектом, поступившим в Госдуму. </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7" w:anchor="ixzz5tgBYJBTy" w:history="1">
        <w:r>
          <w:rPr>
            <w:rStyle w:val="a3"/>
            <w:rFonts w:ascii="Times New Roman" w:hAnsi="Times New Roman" w:cs="Times New Roman"/>
            <w:sz w:val="26"/>
            <w:szCs w:val="26"/>
          </w:rPr>
          <w:t>http://www.garant.ru/news/1281153/#ixzz5tgBYJBTy</w:t>
        </w:r>
      </w:hyperlink>
    </w:p>
    <w:p w:rsidR="00071A68" w:rsidRDefault="00071A68" w:rsidP="00071A68">
      <w:pPr>
        <w:jc w:val="both"/>
        <w:rPr>
          <w:rFonts w:ascii="Times New Roman" w:hAnsi="Times New Roman" w:cs="Times New Roman"/>
          <w:sz w:val="26"/>
          <w:szCs w:val="26"/>
        </w:rPr>
      </w:pPr>
    </w:p>
    <w:p w:rsidR="00071A68" w:rsidRDefault="00071A68" w:rsidP="00071A68">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 xml:space="preserve">Приказ Федеральной налоговой службы от 8 апреля 2019 г. N ММВ-7-15/176@ "О внесении изменений в приложения к приказам Федеральной налоговой </w:t>
      </w:r>
      <w:r>
        <w:rPr>
          <w:rFonts w:ascii="Times New Roman" w:hAnsi="Times New Roman" w:cs="Times New Roman"/>
          <w:b/>
          <w:bCs/>
          <w:color w:val="7030A0"/>
          <w:sz w:val="26"/>
          <w:szCs w:val="26"/>
          <w:u w:val="single"/>
        </w:rPr>
        <w:lastRenderedPageBreak/>
        <w:t>службы от 30.11.2015 N ММВ-7-10/551@, от 30.11.2015 N ММВ-7-10/552@, от 24.03.2016 N ММВ-7-15/155@, от 13.04.2016 N ММВ-7-15/189@"</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Изменились электронные форматы некоторых налоговых документов.</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ФНС обновила электронные форматы:</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документа о передаче товаров при торговых операциях;</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документа о передаче результатов работ (об оказании услуг);</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счета-фактуры;</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корректировочного счета-фактуры.</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xml:space="preserve">Зарегистрировано в </w:t>
      </w:r>
      <w:proofErr w:type="gramStart"/>
      <w:r>
        <w:rPr>
          <w:rFonts w:ascii="Times New Roman" w:hAnsi="Times New Roman" w:cs="Times New Roman"/>
          <w:sz w:val="26"/>
          <w:szCs w:val="26"/>
        </w:rPr>
        <w:t>Минюсте</w:t>
      </w:r>
      <w:proofErr w:type="gramEnd"/>
      <w:r>
        <w:rPr>
          <w:rFonts w:ascii="Times New Roman" w:hAnsi="Times New Roman" w:cs="Times New Roman"/>
          <w:sz w:val="26"/>
          <w:szCs w:val="26"/>
        </w:rPr>
        <w:t xml:space="preserve"> РФ 8 июля 2019 г. Регистрационный N 55169</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8" w:anchor="ixzz5tgFh6Z3e" w:history="1">
        <w:r>
          <w:rPr>
            <w:rStyle w:val="a3"/>
            <w:rFonts w:ascii="Times New Roman" w:hAnsi="Times New Roman" w:cs="Times New Roman"/>
            <w:sz w:val="26"/>
            <w:szCs w:val="26"/>
          </w:rPr>
          <w:t>http://www.garant.ru/hotlaw/important/#ixzz5tgFh6Z3e</w:t>
        </w:r>
      </w:hyperlink>
    </w:p>
    <w:p w:rsidR="00071A68" w:rsidRDefault="00071A68" w:rsidP="00071A68">
      <w:pPr>
        <w:jc w:val="both"/>
        <w:rPr>
          <w:rFonts w:ascii="Times New Roman" w:hAnsi="Times New Roman" w:cs="Times New Roman"/>
          <w:sz w:val="26"/>
          <w:szCs w:val="26"/>
        </w:rPr>
      </w:pPr>
    </w:p>
    <w:p w:rsidR="00071A68" w:rsidRDefault="00071A68" w:rsidP="00071A68">
      <w:pPr>
        <w:jc w:val="both"/>
        <w:rPr>
          <w:rFonts w:ascii="Times New Roman" w:hAnsi="Times New Roman" w:cs="Times New Roman"/>
          <w:b/>
          <w:bCs/>
          <w:color w:val="7030A0"/>
          <w:sz w:val="26"/>
          <w:szCs w:val="26"/>
          <w:u w:val="single"/>
        </w:rPr>
      </w:pPr>
      <w:proofErr w:type="spellStart"/>
      <w:r>
        <w:rPr>
          <w:rFonts w:ascii="Times New Roman" w:hAnsi="Times New Roman" w:cs="Times New Roman"/>
          <w:b/>
          <w:bCs/>
          <w:color w:val="7030A0"/>
          <w:sz w:val="26"/>
          <w:szCs w:val="26"/>
          <w:u w:val="single"/>
        </w:rPr>
        <w:t>Ресурсоснабжающие</w:t>
      </w:r>
      <w:proofErr w:type="spellEnd"/>
      <w:r>
        <w:rPr>
          <w:rFonts w:ascii="Times New Roman" w:hAnsi="Times New Roman" w:cs="Times New Roman"/>
          <w:b/>
          <w:bCs/>
          <w:color w:val="7030A0"/>
          <w:sz w:val="26"/>
          <w:szCs w:val="26"/>
          <w:u w:val="single"/>
        </w:rPr>
        <w:t xml:space="preserve"> организации на УСН предлагается освободить от НДС</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8 июля 2019</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xml:space="preserve">Минстрой России подготовил законопроект, предусматривающий внесение изменений в ст. 174.1 Налогового кодекса в части освобождения от уплаты НДС некоторых видов налогоплательщиков. Речь идет о </w:t>
      </w:r>
      <w:proofErr w:type="spellStart"/>
      <w:r>
        <w:rPr>
          <w:rFonts w:ascii="Times New Roman" w:hAnsi="Times New Roman" w:cs="Times New Roman"/>
          <w:sz w:val="26"/>
          <w:szCs w:val="26"/>
        </w:rPr>
        <w:t>ресурсоснабжающих</w:t>
      </w:r>
      <w:proofErr w:type="spellEnd"/>
      <w:r>
        <w:rPr>
          <w:rFonts w:ascii="Times New Roman" w:hAnsi="Times New Roman" w:cs="Times New Roman"/>
          <w:sz w:val="26"/>
          <w:szCs w:val="26"/>
        </w:rPr>
        <w:t xml:space="preserve"> организациях, осуществляющих деятельность на основании концессионных соглашений в "малых" городах.</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xml:space="preserve">Предложенные меры позволят организациям, применяющим УСН, сохранять налоговый режим при заключении ими концессионных соглашений в отношении объектов теплоснабжения, централизованных систем горячего водоснабжения, холодного водоснабжения или водоотведения, отдельных объектов таких систем, расположенных на территориях населенных пунктов с населением менее 50 тыс. человек. Законодатель полагает, что действующие в настоящее время нормы являются одной из основных причин низкой эффективности деятельности </w:t>
      </w:r>
      <w:proofErr w:type="spellStart"/>
      <w:r>
        <w:rPr>
          <w:rFonts w:ascii="Times New Roman" w:hAnsi="Times New Roman" w:cs="Times New Roman"/>
          <w:sz w:val="26"/>
          <w:szCs w:val="26"/>
        </w:rPr>
        <w:t>ресурсоснабжающих</w:t>
      </w:r>
      <w:proofErr w:type="spellEnd"/>
      <w:r>
        <w:rPr>
          <w:rFonts w:ascii="Times New Roman" w:hAnsi="Times New Roman" w:cs="Times New Roman"/>
          <w:sz w:val="26"/>
          <w:szCs w:val="26"/>
        </w:rPr>
        <w:t xml:space="preserve"> концессионеров в небольших городах.</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xml:space="preserve">В настоящее время налоговым законодательством </w:t>
      </w:r>
      <w:proofErr w:type="gramStart"/>
      <w:r>
        <w:rPr>
          <w:rFonts w:ascii="Times New Roman" w:hAnsi="Times New Roman" w:cs="Times New Roman"/>
          <w:sz w:val="26"/>
          <w:szCs w:val="26"/>
        </w:rPr>
        <w:t>установлена обязанность налогоплательщика возлагается</w:t>
      </w:r>
      <w:proofErr w:type="gramEnd"/>
      <w:r>
        <w:rPr>
          <w:rFonts w:ascii="Times New Roman" w:hAnsi="Times New Roman" w:cs="Times New Roman"/>
          <w:sz w:val="26"/>
          <w:szCs w:val="26"/>
        </w:rPr>
        <w:t xml:space="preserve"> на концессионера при совершении в рамках концессионного соглашения операций по реализации товаров (работ, услуг или имущественных прав), подлежащих обложению НДС. Не предусмотрено исключение и для организаций, применяющих УСН (п. 1 ст. 174.1 НК РФ).</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Минфин России не раз разъяснял, что такой налогоплательщик должен исчислять налог с момента вступления в силу концессионного соглашения в отношении операций по реализации товаров (работ, услуг, имущественных прав), подлежащих налогообложению, совершенных в рамках вышеуказанного договора (письмо Минфина России от 11 апреля 2017 г. № 03-07-11/21305). При этом суммы НДС, предъявленные концессионеру в процессе создания или реконструкции объекта концессионного соглашения, а также в период его использования, принимаются к вычету, если объект использовался для операций, подлежащих обложению НДС (письмо ФНС России от 13 января 2017 г. № СД-3-3/149@).</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9" w:anchor="ixzz5tgMkU6hn" w:history="1">
        <w:r>
          <w:rPr>
            <w:rStyle w:val="a3"/>
            <w:rFonts w:ascii="Times New Roman" w:hAnsi="Times New Roman" w:cs="Times New Roman"/>
            <w:sz w:val="26"/>
            <w:szCs w:val="26"/>
          </w:rPr>
          <w:t>http://www.garant.ru/news/1281330/#ixzz5tgMkU6hn</w:t>
        </w:r>
      </w:hyperlink>
    </w:p>
    <w:p w:rsidR="00071A68" w:rsidRDefault="00071A68" w:rsidP="00071A68">
      <w:pPr>
        <w:jc w:val="both"/>
        <w:rPr>
          <w:rFonts w:ascii="Times New Roman" w:hAnsi="Times New Roman" w:cs="Times New Roman"/>
          <w:sz w:val="26"/>
          <w:szCs w:val="26"/>
        </w:rPr>
      </w:pPr>
    </w:p>
    <w:p w:rsidR="00071A68" w:rsidRDefault="00071A68" w:rsidP="00071A68">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Минфин России рассказал об особенностях участия в электронных процедурах, участники которых должны соответствовать дополнительным требованиям</w:t>
      </w:r>
    </w:p>
    <w:p w:rsidR="00071A68" w:rsidRDefault="00071A68" w:rsidP="00071A68">
      <w:pPr>
        <w:jc w:val="both"/>
        <w:rPr>
          <w:rFonts w:ascii="Times New Roman" w:hAnsi="Times New Roman" w:cs="Times New Roman"/>
          <w:color w:val="7030A0"/>
          <w:sz w:val="26"/>
          <w:szCs w:val="26"/>
        </w:rPr>
      </w:pPr>
      <w:r>
        <w:rPr>
          <w:rFonts w:ascii="Times New Roman" w:hAnsi="Times New Roman" w:cs="Times New Roman"/>
          <w:color w:val="7030A0"/>
          <w:sz w:val="26"/>
          <w:szCs w:val="26"/>
        </w:rPr>
        <w:t>8 июля 2019</w:t>
      </w:r>
    </w:p>
    <w:p w:rsidR="00071A68" w:rsidRDefault="00071A68" w:rsidP="00071A68">
      <w:pPr>
        <w:jc w:val="both"/>
        <w:rPr>
          <w:rFonts w:ascii="Times New Roman" w:hAnsi="Times New Roman" w:cs="Times New Roman"/>
          <w:sz w:val="26"/>
          <w:szCs w:val="26"/>
        </w:rPr>
      </w:pPr>
      <w:proofErr w:type="gramStart"/>
      <w:r>
        <w:rPr>
          <w:rFonts w:ascii="Times New Roman" w:hAnsi="Times New Roman" w:cs="Times New Roman"/>
          <w:sz w:val="26"/>
          <w:szCs w:val="26"/>
        </w:rPr>
        <w:t xml:space="preserve">В подготовленном специалистами министерства письме разъясняется порядок участия в закупках в электронной форме, в отношении участников которых </w:t>
      </w:r>
      <w:r>
        <w:rPr>
          <w:rFonts w:ascii="Times New Roman" w:hAnsi="Times New Roman" w:cs="Times New Roman"/>
          <w:sz w:val="26"/>
          <w:szCs w:val="26"/>
        </w:rPr>
        <w:lastRenderedPageBreak/>
        <w:t>Правительством РФ установлены дополнительные требования в соответствии с ч. 2 и ч. 2.1 ст. 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том</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числе закупках работ по строительству, реконструкции, капитальному ремонту, сносу объекта капитального строительства, линейного объекта, строительству некапитального строения, сооружения (строений, сооружений), благоустройству территории, ремонту, содержанию автомобильных дорог (письмо Минфина России от 26 июня 2019 г. № 24-06-08/46867).</w:t>
      </w:r>
      <w:proofErr w:type="gramEnd"/>
    </w:p>
    <w:p w:rsidR="00071A68" w:rsidRDefault="00071A68" w:rsidP="00071A68">
      <w:pPr>
        <w:jc w:val="both"/>
        <w:rPr>
          <w:rFonts w:ascii="Times New Roman" w:hAnsi="Times New Roman" w:cs="Times New Roman"/>
          <w:sz w:val="26"/>
          <w:szCs w:val="26"/>
        </w:rPr>
      </w:pPr>
      <w:proofErr w:type="gramStart"/>
      <w:r>
        <w:rPr>
          <w:rFonts w:ascii="Times New Roman" w:hAnsi="Times New Roman" w:cs="Times New Roman"/>
          <w:sz w:val="26"/>
          <w:szCs w:val="26"/>
          <w:lang w:val="en-US"/>
        </w:rPr>
        <w:t>C</w:t>
      </w:r>
      <w:r w:rsidRPr="00071A68">
        <w:rPr>
          <w:rFonts w:ascii="Times New Roman" w:hAnsi="Times New Roman" w:cs="Times New Roman"/>
          <w:sz w:val="26"/>
          <w:szCs w:val="26"/>
        </w:rPr>
        <w:t xml:space="preserve"> </w:t>
      </w:r>
      <w:r>
        <w:rPr>
          <w:rFonts w:ascii="Times New Roman" w:hAnsi="Times New Roman" w:cs="Times New Roman"/>
          <w:sz w:val="26"/>
          <w:szCs w:val="26"/>
        </w:rPr>
        <w:t>1 июля 2019 года участие в указанных закупках предусматривает получение участниками аккредитации на электронной площадке в новом порядке, установленном ч. 4 ст.</w:t>
      </w:r>
      <w:proofErr w:type="gramEnd"/>
      <w:r>
        <w:rPr>
          <w:rFonts w:ascii="Times New Roman" w:hAnsi="Times New Roman" w:cs="Times New Roman"/>
          <w:sz w:val="26"/>
          <w:szCs w:val="26"/>
        </w:rPr>
        <w:t xml:space="preserve"> 24.2 Закона № 44-ФЗ, то есть после регистрации в ЕИС. Участникам целесообразно заблаговременно принять меры по регистрации в ЕИС в </w:t>
      </w:r>
      <w:proofErr w:type="gramStart"/>
      <w:r>
        <w:rPr>
          <w:rFonts w:ascii="Times New Roman" w:hAnsi="Times New Roman" w:cs="Times New Roman"/>
          <w:sz w:val="26"/>
          <w:szCs w:val="26"/>
        </w:rPr>
        <w:t>целях</w:t>
      </w:r>
      <w:proofErr w:type="gramEnd"/>
      <w:r>
        <w:rPr>
          <w:rFonts w:ascii="Times New Roman" w:hAnsi="Times New Roman" w:cs="Times New Roman"/>
          <w:sz w:val="26"/>
          <w:szCs w:val="26"/>
        </w:rPr>
        <w:t xml:space="preserve"> реализации положений ч. 12-15 ст. 24.2 Закона № 44-ФЗ, определяющих порядок направления оператору электронной площадки документов, перечисленных в ч. 3 ст. 31 Закона № 44-ФЗ.</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10" w:anchor="ixzz5tgWZC300" w:history="1">
        <w:r>
          <w:rPr>
            <w:rStyle w:val="a3"/>
            <w:rFonts w:ascii="Times New Roman" w:hAnsi="Times New Roman" w:cs="Times New Roman"/>
            <w:sz w:val="26"/>
            <w:szCs w:val="26"/>
          </w:rPr>
          <w:t>http://www.garant.ru/news/1281315/#ixzz5tgWZC300</w:t>
        </w:r>
      </w:hyperlink>
    </w:p>
    <w:p w:rsidR="00071A68" w:rsidRDefault="00071A68" w:rsidP="00071A68">
      <w:pPr>
        <w:jc w:val="both"/>
        <w:rPr>
          <w:rFonts w:ascii="Times New Roman" w:hAnsi="Times New Roman" w:cs="Times New Roman"/>
          <w:sz w:val="26"/>
          <w:szCs w:val="26"/>
        </w:rPr>
      </w:pPr>
    </w:p>
    <w:p w:rsidR="00071A68" w:rsidRDefault="00071A68" w:rsidP="00071A68">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В Госдуму внесены законопроекты о переходе на электронные трудовые книжки</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9 июля 2019</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Речь идет о трех правительственных инициативах, предусматривающих возможность ведения сведений о трудовой деятельности работников в электронном виде.</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xml:space="preserve">Согласно поправкам с 1 января 2021 года для лиц, впервые поступающих на работу, все сведения будут оформляться в электронном </w:t>
      </w:r>
      <w:proofErr w:type="gramStart"/>
      <w:r>
        <w:rPr>
          <w:rFonts w:ascii="Times New Roman" w:hAnsi="Times New Roman" w:cs="Times New Roman"/>
          <w:sz w:val="26"/>
          <w:szCs w:val="26"/>
        </w:rPr>
        <w:t>виде</w:t>
      </w:r>
      <w:proofErr w:type="gramEnd"/>
      <w:r>
        <w:rPr>
          <w:rFonts w:ascii="Times New Roman" w:hAnsi="Times New Roman" w:cs="Times New Roman"/>
          <w:sz w:val="26"/>
          <w:szCs w:val="26"/>
        </w:rPr>
        <w:t>. Трудовые книжки на бумажном носителе останутся только для тех работников, которые до конца 2020 года направят работодателю письменное заявление о необходимости ее ведения.</w:t>
      </w:r>
    </w:p>
    <w:p w:rsidR="00071A68" w:rsidRDefault="00071A68" w:rsidP="00071A68">
      <w:pPr>
        <w:jc w:val="both"/>
        <w:rPr>
          <w:rFonts w:ascii="Times New Roman" w:hAnsi="Times New Roman" w:cs="Times New Roman"/>
          <w:sz w:val="26"/>
          <w:szCs w:val="26"/>
        </w:rPr>
      </w:pPr>
      <w:proofErr w:type="gramStart"/>
      <w:r>
        <w:rPr>
          <w:rFonts w:ascii="Times New Roman" w:hAnsi="Times New Roman" w:cs="Times New Roman"/>
          <w:sz w:val="26"/>
          <w:szCs w:val="26"/>
        </w:rPr>
        <w:t>В целях обеспечения формирования и ведения сведений о трудовой деятельности в электронном виде законопроект предписывает работодателям в течение 2020 года осуществить ряд подготовительных мероприятий, а именно – разработать, принять или изменить локальные нормативные акты, скорректировать соглашения и коллективные договоры, обеспечить техническую готовность к передаче сведений о трудовой деятельности в электронном виде в информационную систему ПФР.</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Также работодатели должны уведомить работников в письменной форме об изменениях трудового законодательства в части формирования и ведения сведений о трудовой деятельности в электронном виде, сообщив им при этом о праве на подачу заявления о ведении трудовой книжки на бумажном носителе и последствиях непредставления такого заявления до 1 января 2021 года (прекращение ведения бумажной трудовой книжки и выдача ее работнику на</w:t>
      </w:r>
      <w:proofErr w:type="gramEnd"/>
      <w:r>
        <w:rPr>
          <w:rFonts w:ascii="Times New Roman" w:hAnsi="Times New Roman" w:cs="Times New Roman"/>
          <w:sz w:val="26"/>
          <w:szCs w:val="26"/>
        </w:rPr>
        <w:t xml:space="preserve"> руки). </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xml:space="preserve">С 1 января 2020 года планируется обязать работодателя (страхователя) представлять в информационную систему ПФР сведения о трудовой деятельности застрахованных лиц. </w:t>
      </w:r>
      <w:proofErr w:type="gramStart"/>
      <w:r>
        <w:rPr>
          <w:rFonts w:ascii="Times New Roman" w:hAnsi="Times New Roman" w:cs="Times New Roman"/>
          <w:sz w:val="26"/>
          <w:szCs w:val="26"/>
        </w:rPr>
        <w:t>С той же даты может быть введена административная ответственность в виде предупреждения для должностных лиц работодателя за неоднократное (два и более раз в течение года) нарушение сроков представления в ПФР необходимых сведений либо представление неполных или недостоверных сведений.</w:t>
      </w:r>
      <w:proofErr w:type="gramEnd"/>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Для удобства работников предусматривается несколько способов получения сведений о трудовой деятельности на бумажном носителе или в электронной форме – у работодателя по последнему месту работы, в МФЦ, ПФР и на Едином портале </w:t>
      </w:r>
      <w:proofErr w:type="spellStart"/>
      <w:r>
        <w:rPr>
          <w:rFonts w:ascii="Times New Roman" w:hAnsi="Times New Roman" w:cs="Times New Roman"/>
          <w:sz w:val="26"/>
          <w:szCs w:val="26"/>
        </w:rPr>
        <w:t>госуслуг</w:t>
      </w:r>
      <w:proofErr w:type="spellEnd"/>
      <w:r>
        <w:rPr>
          <w:rFonts w:ascii="Times New Roman" w:hAnsi="Times New Roman" w:cs="Times New Roman"/>
          <w:sz w:val="26"/>
          <w:szCs w:val="26"/>
        </w:rPr>
        <w:t>.</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11" w:anchor="ixzz5tgccuWLg" w:history="1">
        <w:r>
          <w:rPr>
            <w:rStyle w:val="a3"/>
            <w:rFonts w:ascii="Times New Roman" w:hAnsi="Times New Roman" w:cs="Times New Roman"/>
            <w:sz w:val="26"/>
            <w:szCs w:val="26"/>
          </w:rPr>
          <w:t>http://www.garant.ru/news/1281344/#ixzz5tgccuWLg</w:t>
        </w:r>
      </w:hyperlink>
    </w:p>
    <w:p w:rsidR="00071A68" w:rsidRDefault="00071A68" w:rsidP="00071A68">
      <w:pPr>
        <w:jc w:val="both"/>
        <w:rPr>
          <w:rFonts w:ascii="Times New Roman" w:hAnsi="Times New Roman" w:cs="Times New Roman"/>
          <w:sz w:val="26"/>
          <w:szCs w:val="26"/>
        </w:rPr>
      </w:pPr>
    </w:p>
    <w:p w:rsidR="00071A68" w:rsidRDefault="00071A68" w:rsidP="00071A68">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Перечень уголовных наказаний за фиктивную регистрацию могут расширить</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9 июля 2019</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В Госдуму внесен законопроект, направленный на совершенствование правового регулирования вопросов противодействия незаконной миграции.</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Предлагается расширить перечень уголовных санкций за фиктивную регистрацию гражданина по месту пребывания или месту жительства, а также за фиктивную постановку на учет иностранного гражданина или лица без гражданства по месту пребывания в России. В ст. 322.2 и ст. 322.3 Уголовного кодекса планируется дополнительно включить такие санкции, как обязательные работы на срок до 360 часов или исправительные работы на срок до одного года.</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Авторы инициативы отмечают, что такая поправка позволит расширить круг лиц, которые объективно смогут понести бремя наказания за совершение преступлений по указанным статьям. В конечном итоге это будет способствовать усилению в допустимых пределах соблюдения принципа неотвратимости наказания, считают разработчики.</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xml:space="preserve">Фиктивной регистрацией по месту жительства считается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либо регистрация по месту жительства без их намерения проживать в соответствующем жилом помещении или без намерения нанимателя (собственника) предоставить им это жилое помещение для проживания. </w:t>
      </w:r>
      <w:proofErr w:type="gramStart"/>
      <w:r>
        <w:rPr>
          <w:rFonts w:ascii="Times New Roman" w:hAnsi="Times New Roman" w:cs="Times New Roman"/>
          <w:sz w:val="26"/>
          <w:szCs w:val="26"/>
        </w:rPr>
        <w:t>А фиктивной постановкой на учет – аналогичные действия, связанные с постановкой на учет иностранца или лица без гражданства по месту пребывания, а равно постановка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деятельность (п. 10-22 ч. 1 ст. 2 Федерального закона от 18 июля 2006 г. № 109-ФЗ</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О миграционном учете иностранных граждан и лиц без гражданства в Российской Федерации"). </w:t>
      </w:r>
      <w:proofErr w:type="gramEnd"/>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12" w:anchor="ixzz5tgprcS4Z" w:history="1">
        <w:r>
          <w:rPr>
            <w:rStyle w:val="a3"/>
            <w:rFonts w:ascii="Times New Roman" w:hAnsi="Times New Roman" w:cs="Times New Roman"/>
            <w:sz w:val="26"/>
            <w:szCs w:val="26"/>
          </w:rPr>
          <w:t>http://www.garant.ru/news/1281348/#ixzz5tgprcS4Z</w:t>
        </w:r>
      </w:hyperlink>
    </w:p>
    <w:p w:rsidR="00071A68" w:rsidRDefault="00071A68" w:rsidP="00071A68">
      <w:pPr>
        <w:jc w:val="both"/>
        <w:rPr>
          <w:rFonts w:ascii="Times New Roman" w:hAnsi="Times New Roman" w:cs="Times New Roman"/>
          <w:sz w:val="26"/>
          <w:szCs w:val="26"/>
        </w:rPr>
      </w:pPr>
    </w:p>
    <w:p w:rsidR="00071A68" w:rsidRDefault="00071A68" w:rsidP="00071A68">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Перечень подакцизных товаров может быть расширен</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10 июля 2019</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xml:space="preserve">Правительство РФ внесло в Госдуму законопроект о поправках в Налоговый кодекс в части признания </w:t>
      </w:r>
      <w:proofErr w:type="gramStart"/>
      <w:r>
        <w:rPr>
          <w:rFonts w:ascii="Times New Roman" w:hAnsi="Times New Roman" w:cs="Times New Roman"/>
          <w:sz w:val="26"/>
          <w:szCs w:val="26"/>
        </w:rPr>
        <w:t>подакцизными</w:t>
      </w:r>
      <w:proofErr w:type="gramEnd"/>
      <w:r>
        <w:rPr>
          <w:rFonts w:ascii="Times New Roman" w:hAnsi="Times New Roman" w:cs="Times New Roman"/>
          <w:sz w:val="26"/>
          <w:szCs w:val="26"/>
        </w:rPr>
        <w:t xml:space="preserve"> ряда товаров. </w:t>
      </w:r>
      <w:proofErr w:type="gramStart"/>
      <w:r>
        <w:rPr>
          <w:rFonts w:ascii="Times New Roman" w:hAnsi="Times New Roman" w:cs="Times New Roman"/>
          <w:sz w:val="26"/>
          <w:szCs w:val="26"/>
        </w:rPr>
        <w:t>Речь идет о спиртосодержащей парфюмерно-косметической продукции в металлической аэрозольной упаковке, а также разлитой в малые емкости (не более 100 мл), продукции бытовой химии в металлической аэрозольной упаковке, виноматериалах (за исключением виноматериалов, предназначенных для производства дистиллятов), винограде, используемом для производства вина, игристого вина (шампанского), а также спиртных напитков, изготовленных по технологии полного цикла.</w:t>
      </w:r>
      <w:proofErr w:type="gramEnd"/>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Предлагается внести изменения в условия и порядок предоставления свидетельств о регистрации организаций, совершающих операции с денатурированным этиловым спиртом. Налоговый орган обязан выдать свидетельство или уведомить об отказе в его выдаче не позднее 30 календарных дней с момента представления организацией соответствующего заявления и представления копий необходимых документов. Действие выданного свидетельства начинается с первого дня налогового периода, в </w:t>
      </w:r>
      <w:proofErr w:type="gramStart"/>
      <w:r>
        <w:rPr>
          <w:rFonts w:ascii="Times New Roman" w:hAnsi="Times New Roman" w:cs="Times New Roman"/>
          <w:sz w:val="26"/>
          <w:szCs w:val="26"/>
        </w:rPr>
        <w:t>котором</w:t>
      </w:r>
      <w:proofErr w:type="gramEnd"/>
      <w:r>
        <w:rPr>
          <w:rFonts w:ascii="Times New Roman" w:hAnsi="Times New Roman" w:cs="Times New Roman"/>
          <w:sz w:val="26"/>
          <w:szCs w:val="26"/>
        </w:rPr>
        <w:t xml:space="preserve"> организацией представлены вышеуказанные документы.</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Также законопроектом предусматривается предоставление налогоплательщикам-производителям вышеуказанной продукции права на получение налоговых вычетов при условии надлежащего использования подакцизного сырья.</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Законодатель предлагает внести некоторые изменения и в части акцизных ставок:</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унифицировать ставки на спирт этиловый, спиртосодержащую продукцию, а также алкогольную продукцию с объемной долей этилового спирта свыше 9%;</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установить ставку акциза на винные напитки, изготавливаемые без добавления ректификованного этилового спирта, на уровне ставки акциза на игристые вина (шампанские);</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установить единые налоговые ставки акциза на вина, игристые вина (шампанские), производимые и ввозимые на территорию России.</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Вышеуказанные изменения вступят в силу с 1 января 2020 года, но не ранее чем по истечении одного месяца со дня официального опубликования закона, а также не ранее 1 числа очередного налогового периода по акцизам.</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13" w:anchor="ixzz5tgPZpJiv" w:history="1">
        <w:r>
          <w:rPr>
            <w:rStyle w:val="a3"/>
            <w:rFonts w:ascii="Times New Roman" w:hAnsi="Times New Roman" w:cs="Times New Roman"/>
            <w:sz w:val="26"/>
            <w:szCs w:val="26"/>
          </w:rPr>
          <w:t>http://www.garant.ru/news/1281459/#ixzz5tgPZpJiv</w:t>
        </w:r>
      </w:hyperlink>
    </w:p>
    <w:p w:rsidR="00071A68" w:rsidRDefault="00071A68" w:rsidP="00071A68">
      <w:pPr>
        <w:jc w:val="both"/>
        <w:rPr>
          <w:rFonts w:ascii="Times New Roman" w:hAnsi="Times New Roman" w:cs="Times New Roman"/>
          <w:sz w:val="26"/>
          <w:szCs w:val="26"/>
        </w:rPr>
      </w:pPr>
    </w:p>
    <w:p w:rsidR="00071A68" w:rsidRDefault="00071A68" w:rsidP="00071A68">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 xml:space="preserve">Разработаны рекомендации по проведению эксперимента по </w:t>
      </w:r>
      <w:proofErr w:type="spellStart"/>
      <w:r>
        <w:rPr>
          <w:rFonts w:ascii="Times New Roman" w:hAnsi="Times New Roman" w:cs="Times New Roman"/>
          <w:b/>
          <w:bCs/>
          <w:color w:val="7030A0"/>
          <w:sz w:val="26"/>
          <w:szCs w:val="26"/>
          <w:u w:val="single"/>
        </w:rPr>
        <w:t>прослеживаемости</w:t>
      </w:r>
      <w:proofErr w:type="spellEnd"/>
      <w:r>
        <w:rPr>
          <w:rFonts w:ascii="Times New Roman" w:hAnsi="Times New Roman" w:cs="Times New Roman"/>
          <w:b/>
          <w:bCs/>
          <w:color w:val="7030A0"/>
          <w:sz w:val="26"/>
          <w:szCs w:val="26"/>
          <w:u w:val="single"/>
        </w:rPr>
        <w:t xml:space="preserve"> товаров</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10 июля 2019</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ФНС России опубликовала рекомендации в отношении проведения эксперимента по прослеживаемости</w:t>
      </w:r>
      <w:bookmarkStart w:id="0" w:name="_GoBack"/>
      <w:bookmarkEnd w:id="0"/>
      <w:r>
        <w:rPr>
          <w:rFonts w:ascii="Times New Roman" w:hAnsi="Times New Roman" w:cs="Times New Roman"/>
          <w:sz w:val="26"/>
          <w:szCs w:val="26"/>
        </w:rPr>
        <w:t xml:space="preserve"> товаров, выпущенных на российской территории в соответствии с таможенной процедурой выпуска для внутреннего потребления (далее – Рекомендации, письмо ФНС России от 4 июля 2019 г. № ЕД-4-15/13072@ "О направлении положений эксперимента по прослеживаемости товаров").</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В Рекомендациях прописываются условия участия заинтересованных лиц в эксперименте, правила подачи и регистрации соответствующей заявки, а также ее типовая форма, перечень прилагаемых к ней документов и правила их предоставления. Отдельный раздел посвящен структуре регистрационного номера партии товаров и правилам его указания в документах, содержащих реквизиты товаров, подлежащих прослеживаемости.</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В эксперименте могут принять участие организации, осуществляющие как минимум одну из следующих операций:</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ввоз товаров;</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купля-продажа на внутреннем рынке;</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оптовая продажа товаров налогоплательщикам государств-членов ЕЭС.</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xml:space="preserve">Заявку на участие можно подать в период с 1 июля по 30 сентября 2019 года через интернет-обращение на официальном сайте ФНС России или направить по почте в адрес налоговой службы (127381, г. Москва, улица Неглинная, д. 23). В ней указывается наименование, ИНН и КПП налогоплательщика, Ф. И. О. и электронный адрес контактного лица, а также сведения о товаре – наименование, </w:t>
      </w:r>
      <w:r>
        <w:rPr>
          <w:rFonts w:ascii="Times New Roman" w:hAnsi="Times New Roman" w:cs="Times New Roman"/>
          <w:sz w:val="26"/>
          <w:szCs w:val="26"/>
        </w:rPr>
        <w:lastRenderedPageBreak/>
        <w:t>код товара по товарной номенклатуре внешнеэкономической деятельности (ТН ВЭД), примеры регистрационных номеров деклараций на товары (графа 11 счета-фактуры), наименование, ИНН и КПП продавца и покупателя товара при их наличии.</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xml:space="preserve">Срок рассмотрения заявки составляет 10 рабочих дней со дня ее подачи. Если заявка будет одобрена налоговыми органами, то в течение 10 рабочих дней с момента ее регистрации организация предоставляет в инспекцию документы, содержащие реквизиты товаров. Допускается предоставление документов в </w:t>
      </w:r>
      <w:proofErr w:type="gramStart"/>
      <w:r>
        <w:rPr>
          <w:rFonts w:ascii="Times New Roman" w:hAnsi="Times New Roman" w:cs="Times New Roman"/>
          <w:sz w:val="26"/>
          <w:szCs w:val="26"/>
        </w:rPr>
        <w:t>отношении</w:t>
      </w:r>
      <w:proofErr w:type="gramEnd"/>
      <w:r>
        <w:rPr>
          <w:rFonts w:ascii="Times New Roman" w:hAnsi="Times New Roman" w:cs="Times New Roman"/>
          <w:sz w:val="26"/>
          <w:szCs w:val="26"/>
        </w:rPr>
        <w:t xml:space="preserve"> операций с товарами, совершенных с 1 января 2019 года. В дальнейшем документы нужно представлять не позднее 15 числа месяца, следующего за месяцем совершения операции с такими товарами.</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xml:space="preserve">Эксперимент проводится в </w:t>
      </w:r>
      <w:proofErr w:type="gramStart"/>
      <w:r>
        <w:rPr>
          <w:rFonts w:ascii="Times New Roman" w:hAnsi="Times New Roman" w:cs="Times New Roman"/>
          <w:sz w:val="26"/>
          <w:szCs w:val="26"/>
        </w:rPr>
        <w:t>отношении</w:t>
      </w:r>
      <w:proofErr w:type="gramEnd"/>
      <w:r>
        <w:rPr>
          <w:rFonts w:ascii="Times New Roman" w:hAnsi="Times New Roman" w:cs="Times New Roman"/>
          <w:sz w:val="26"/>
          <w:szCs w:val="26"/>
        </w:rPr>
        <w:t xml:space="preserve"> 10 товарных групп, в том числе холодильного оборудования, транспортных средств промышленного назначения, стиральных машин, мониторов, детских колясок и кресел безопасности.</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Целью эксперимента является проверка полноты и достаточности функционирования системы прослеживаемости. Как поясняет ФНС России, система прослеживаемости импортных товаров поможет контролировать легальность их оборота на единой таможенной территории ЕАЭС. Она не предусматривает физической маркировки товаров, ведь реквизиты прослеживаемых товаров будут включаться в документацию, а значит, процедура оформления товаров не усложнится и не увеличится нагрузка на участников рынка.</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14" w:anchor="ixzz5tgRvwGvA" w:history="1">
        <w:r>
          <w:rPr>
            <w:rStyle w:val="a3"/>
            <w:rFonts w:ascii="Times New Roman" w:hAnsi="Times New Roman" w:cs="Times New Roman"/>
            <w:sz w:val="26"/>
            <w:szCs w:val="26"/>
          </w:rPr>
          <w:t>http://www.garant.ru/news/1281881/#ixzz5tgRvwGvA</w:t>
        </w:r>
      </w:hyperlink>
    </w:p>
    <w:p w:rsidR="00071A68" w:rsidRDefault="00071A68" w:rsidP="00071A68">
      <w:pPr>
        <w:jc w:val="both"/>
        <w:rPr>
          <w:rFonts w:ascii="Times New Roman" w:hAnsi="Times New Roman" w:cs="Times New Roman"/>
          <w:sz w:val="26"/>
          <w:szCs w:val="26"/>
        </w:rPr>
      </w:pPr>
    </w:p>
    <w:p w:rsidR="00071A68" w:rsidRDefault="00071A68" w:rsidP="00071A68">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В России могут разрешить дистанционную продажу ювелирных изделий</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10 июля 2019</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Минфин России инициировал внесение соответствующей поправки в Правила продажи товаров дистанционным способом (далее – Правила), утв. постановлением Правительства РФ от 27 сентября 2007 г. № 612. Проект правительственного постановления вынесен на публичное обсуждение (оно продлится до 5 августа).</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Предлагается включить в п. 5 Правил норму, допускающую продажу на территории России ювелирных изделий из драгоценных металлов или драгоценных камней, сертифицированных ограненных драгоценных камней дистанционным способом. Такая продажа предусмотрена с учетом особенностей, установленных законодательством РФ, а именно – обязательного клеймения ювелирных изделий. Разработчики инициативы подчеркивают, что с просьбой о внесении указанного изменения к Минфину России неоднократно обращались профессиональные предпринимательские сообщества и организации.</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Драгоценные и редкоземельные металлы, а также драгоценные камни и изделия из них включены в Перечень видов продукции и отходов производства, свободная реализация которых запрещена, утв. Указом Президента РФ от 22 февраля 1992 г. № 179. При этом Федеральный закон от 26 марта 1998 г. № 41-ФЗ "О драгоценных металлах и драгоценных камнях" (далее – Закон № 41-ФЗ) устанавливает особенности использования и обращения драгоценных металлов и драгоценных камней.</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xml:space="preserve">Законом № 41-ФЗ ограничения на свободное обращение распространяются только на необработанные драгоценные камни. Предлагаемая корректировка призвана устранить правовые коллизии при торговле ювелирными и другими изделиями из </w:t>
      </w:r>
      <w:r>
        <w:rPr>
          <w:rFonts w:ascii="Times New Roman" w:hAnsi="Times New Roman" w:cs="Times New Roman"/>
          <w:sz w:val="26"/>
          <w:szCs w:val="26"/>
        </w:rPr>
        <w:lastRenderedPageBreak/>
        <w:t xml:space="preserve">драгоценных металлов или драгоценных камней, а также сертифицированными ограненными драгоценными камнями дистанционным способом. </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15" w:anchor="ixzz5tgYZD5au" w:history="1">
        <w:r>
          <w:rPr>
            <w:rStyle w:val="a3"/>
            <w:rFonts w:ascii="Times New Roman" w:hAnsi="Times New Roman" w:cs="Times New Roman"/>
            <w:sz w:val="26"/>
            <w:szCs w:val="26"/>
          </w:rPr>
          <w:t>http://www.garant.ru/news/1281458/#ixzz5tgYZD5au</w:t>
        </w:r>
      </w:hyperlink>
    </w:p>
    <w:p w:rsidR="00071A68" w:rsidRDefault="00071A68" w:rsidP="00071A68">
      <w:pPr>
        <w:jc w:val="both"/>
        <w:rPr>
          <w:rFonts w:ascii="Times New Roman" w:hAnsi="Times New Roman" w:cs="Times New Roman"/>
          <w:sz w:val="26"/>
          <w:szCs w:val="26"/>
        </w:rPr>
      </w:pPr>
    </w:p>
    <w:p w:rsidR="00071A68" w:rsidRDefault="00071A68" w:rsidP="00071A68">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В России может появиться единый государственный реестр производителей экологически чистой продукции</w:t>
      </w:r>
    </w:p>
    <w:p w:rsidR="00071A68" w:rsidRDefault="00071A68" w:rsidP="00071A68">
      <w:pPr>
        <w:jc w:val="both"/>
        <w:rPr>
          <w:rFonts w:ascii="Times New Roman" w:hAnsi="Times New Roman" w:cs="Times New Roman"/>
          <w:color w:val="7030A0"/>
          <w:sz w:val="26"/>
          <w:szCs w:val="26"/>
        </w:rPr>
      </w:pPr>
      <w:r>
        <w:rPr>
          <w:rFonts w:ascii="Times New Roman" w:hAnsi="Times New Roman" w:cs="Times New Roman"/>
          <w:color w:val="000000"/>
          <w:sz w:val="26"/>
          <w:szCs w:val="26"/>
        </w:rPr>
        <w:t>10 июля 2019</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Минсельхоз России разработал проект федерального закона "Об экологически чистой сельскохозяйственной продукции, сырье и продовольствии". Документ вынесен на публичное обсуждение (оно продлится до 5 августа).</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xml:space="preserve">Законопроект направлен на регулирование отношений, связанных с производством, хранением, транспортировкой, маркировкой и реализацией экологически чистых сельскохозяйственной продукции, сырья и продовольствия. Под экологически чистой продукцией в документе понимается сельскохозяйственная продукция, сырье и продовольствие, произведенные в массовом количестве по современным </w:t>
      </w:r>
      <w:proofErr w:type="spellStart"/>
      <w:r>
        <w:rPr>
          <w:rFonts w:ascii="Times New Roman" w:hAnsi="Times New Roman" w:cs="Times New Roman"/>
          <w:sz w:val="26"/>
          <w:szCs w:val="26"/>
        </w:rPr>
        <w:t>агро</w:t>
      </w:r>
      <w:proofErr w:type="spellEnd"/>
      <w:r>
        <w:rPr>
          <w:rFonts w:ascii="Times New Roman" w:hAnsi="Times New Roman" w:cs="Times New Roman"/>
          <w:sz w:val="26"/>
          <w:szCs w:val="26"/>
        </w:rPr>
        <w:t>- и промышленным технологиям с применением ограниченной группы безопасных для человека и окружающей среды удобрений и других агрохимикатов, средств защиты растений, кормов, кормовых и пищевых добавок, иных веществ в соответствии с установленными требованиями.</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Речь идет о таких требованиях к производству экологически чистой продукции, как:</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обособление его от производства иной продукции, включая раздельные хранение и транспортировку экологически чистой продукции и продукции, не относящейся к таковой;</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проведение мониторинга почв сельскохозяйственных угодий, предназначенных для производства экологически чистой продукции, на содержание потенциально опасных для человека веществ и организмов;</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применение безопасных для человека и окружающей среды удобрений и других агрохимикатов, средств защиты растений;</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обоснованное применение удобрений и других агрохимикатов, средств защиты растений, стимуляторов роста растений на основе расчета, составленного специалистом с высшим образованием по специальности "Агрономия", в т. ч. с использованием специального программного обеспечения;</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запрет на применение трансплантации эмбрионов, клонирования и методов генной инженерии, генно-инженерно-модифицированных и трансгенных организмов, а также продукции, изготовленной с их использованием;</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использование пищевых добавок, технологических вспомогательных средств, ароматизаторов, усилителей вкуса, ферментных препаратов, микроэлементов, витаминов, аминокислот, предусмотренных национальными и межгосударственными стандартами в сфере производства экологически чистой продукции;</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запрет на применение ионизирующего излучения;</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соблюдение технологического регламента процесса обращения с отходами, образующимися при производстве экологически чистой продукции;</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недопустимость содержания в конечной экологически чистой продукции потенциально опасных для человека химических и биологических веществ;</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lastRenderedPageBreak/>
        <w:t>- запрет на использование упаковки, потребительской и транспортной тары, которые могут привести к загрязнению экологически чистой продукции и окружающей среды.</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Подтверждать соответствие экологически чистой продукции и производства экологически чистой продукции указанным требованиям планируется в форме добровольной сертификации, которая не будет заменять обязательного подтверждения соответствия экологически чистой продукции в случаях, предусмотренных актами Евразийского экономического союза и законодательством РФ. Кроме того, законопроектом предусмотрено формирование Единого государственного реестра производителей экологически чистой продукции, нацеленного на безвозмездное информирование потребителей о производителях экологически чистой продукции и видах производимой ими продукции. Определен перечень сведений, подлежащих обязательному включению в такой реестр, и указано, что они будут общедоступными.</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Также планируется разрешить производителям маркировать экологически чистую продукцию особыми комбинациями надписей и графического изображения (знака) экологически чистой продукции единого образца. Маркировка будет обеспечивать прослеживаемость такой продукции на всех этапах ее производства.</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xml:space="preserve">В случае одобрения </w:t>
      </w:r>
      <w:proofErr w:type="gramStart"/>
      <w:r>
        <w:rPr>
          <w:rFonts w:ascii="Times New Roman" w:hAnsi="Times New Roman" w:cs="Times New Roman"/>
          <w:sz w:val="26"/>
          <w:szCs w:val="26"/>
        </w:rPr>
        <w:t>законопроекта</w:t>
      </w:r>
      <w:proofErr w:type="gramEnd"/>
      <w:r>
        <w:rPr>
          <w:rFonts w:ascii="Times New Roman" w:hAnsi="Times New Roman" w:cs="Times New Roman"/>
          <w:sz w:val="26"/>
          <w:szCs w:val="26"/>
        </w:rPr>
        <w:t xml:space="preserve"> предусмотренные им нормы вступят в силу с 1 января 2021 года. </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xml:space="preserve">ГАРАНТ.РУ: </w:t>
      </w:r>
      <w:hyperlink r:id="rId16" w:anchor="ixzz5tgZtiHqy" w:history="1">
        <w:r>
          <w:rPr>
            <w:rStyle w:val="a3"/>
            <w:rFonts w:ascii="Times New Roman" w:hAnsi="Times New Roman" w:cs="Times New Roman"/>
            <w:sz w:val="26"/>
            <w:szCs w:val="26"/>
          </w:rPr>
          <w:t>http://www.garant.ru/news/1281817/#ixzz5tgZtiHqy</w:t>
        </w:r>
      </w:hyperlink>
    </w:p>
    <w:p w:rsidR="00071A68" w:rsidRDefault="00071A68" w:rsidP="00071A68">
      <w:pPr>
        <w:jc w:val="both"/>
        <w:rPr>
          <w:rFonts w:ascii="Times New Roman" w:hAnsi="Times New Roman" w:cs="Times New Roman"/>
          <w:sz w:val="26"/>
          <w:szCs w:val="26"/>
        </w:rPr>
      </w:pPr>
    </w:p>
    <w:p w:rsidR="00071A68" w:rsidRDefault="00071A68" w:rsidP="00071A68">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Разработаны поправки о бесплатной (социальной) парковке</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11 июля 2019</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Документ предусматривает внесение ряда изменений в 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Предлагается распространить действие указанного закона на все парковки (парковочные места), включая те, которые расположены около объектов социальной, инженерной и транспортной инфраструктур. В данном случае имеются в виду парковки вблизи жилых, общественных и производственных зданий, строений и сооружений (в т. ч. те, в которых расположены физкультурно-спортивные организации, организации культуры и т. п.), вблизи мест отдыха.</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При этом в отдельной статье планируется прописать особенности пользования бесплатными (социальными) парковками отдельными категориями лиц – теми, для кого законами субъектов РФ предусмотрена бесплатная парковка в качестве меры социальной поддержки, а также инвалидами и родителями в многодетных семьях. Отметим, для первых двух категорий подобные льготы уже предусмотрены другими федеральными законами (например, Федеральный закон от 24 ноября 1995 г. № 181-ФЗ "О социальной защите инвалидов в Российской Федерации" обязывает выделять не менее 10% мест на парковке для автомобилей инвалидов, включая транспортные средства, перевозящие инвалидов и детей-инвалидов).</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xml:space="preserve">За родителями в семьях, имеющих трех и более детей (в многодетных семьях), предлагается законодательно закрепить право бесплатно парковать принадлежащие им транспортные средства на парковках, расположенных на автомобильных дорогах общего пользования любых форм собственности и значения, включая парковки возле объектов социальной, инженерной и транспортной инфраструктур. </w:t>
      </w:r>
      <w:r>
        <w:rPr>
          <w:rFonts w:ascii="Times New Roman" w:hAnsi="Times New Roman" w:cs="Times New Roman"/>
          <w:sz w:val="26"/>
          <w:szCs w:val="26"/>
        </w:rPr>
        <w:lastRenderedPageBreak/>
        <w:t>Ограничение для них предусмотрено только в части парковочных мест, предназначенных для инвалидов.</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xml:space="preserve">В случае одобрения инициативы полномочия по организации социальных парковок будут распределены между региональными и муниципальными властями. </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17" w:anchor="ixzz5tgfM4LD1" w:history="1">
        <w:r>
          <w:rPr>
            <w:rStyle w:val="a3"/>
            <w:rFonts w:ascii="Times New Roman" w:hAnsi="Times New Roman" w:cs="Times New Roman"/>
            <w:sz w:val="26"/>
            <w:szCs w:val="26"/>
          </w:rPr>
          <w:t>http://www.garant.ru/news/1281980/#ixzz5tgfM4LD1</w:t>
        </w:r>
      </w:hyperlink>
    </w:p>
    <w:p w:rsidR="00071A68" w:rsidRDefault="00071A68" w:rsidP="00071A68">
      <w:pPr>
        <w:jc w:val="both"/>
        <w:rPr>
          <w:rFonts w:ascii="Times New Roman" w:hAnsi="Times New Roman" w:cs="Times New Roman"/>
          <w:sz w:val="26"/>
          <w:szCs w:val="26"/>
        </w:rPr>
      </w:pPr>
    </w:p>
    <w:p w:rsidR="00071A68" w:rsidRDefault="00071A68" w:rsidP="00071A68">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Период оплаты штрафа за нарушение ПДД со скидкой хотят продлить</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12 июля 2019</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Его предлагается увеличить на 10 дней (с 20 до 30 дней). С соответствующей законодательной инициативой выступила группа депутатов Госдумы во главе с Игорем Лебедевым.</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xml:space="preserve">С 1 января 2016 года нарушителям ПДД предоставлена возможность оплаты штрафа со скидкой в 50%. Такая льгота применяется в </w:t>
      </w:r>
      <w:proofErr w:type="gramStart"/>
      <w:r>
        <w:rPr>
          <w:rFonts w:ascii="Times New Roman" w:hAnsi="Times New Roman" w:cs="Times New Roman"/>
          <w:sz w:val="26"/>
          <w:szCs w:val="26"/>
        </w:rPr>
        <w:t>случае</w:t>
      </w:r>
      <w:proofErr w:type="gramEnd"/>
      <w:r>
        <w:rPr>
          <w:rFonts w:ascii="Times New Roman" w:hAnsi="Times New Roman" w:cs="Times New Roman"/>
          <w:sz w:val="26"/>
          <w:szCs w:val="26"/>
        </w:rPr>
        <w:t>, если штраф оплачивается в течение 20 дней с даты вынесения постановления о его наложении (ч. 1.3 ст. 32.2 КоАП). Это правило применяется с ограничениями в части некоторых правонарушений, среди которых – управление транспортным средством в нетрезвом состоянии, неоднократный проезд на красный свет или выезд на полосу встречного движения, нарушение ПДД или правил эксплуатации транспортного средства, повлекшее причинение легкого или средней тяжести вреда здоровью потерпевшего, и т. п. Указанные деяния требуют полной оплаты штрафов и исключают применение скидки.</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xml:space="preserve">Авторы инициативы считают, что установленный двадцатидневный срок оплаты административного штрафа со скидкой в </w:t>
      </w:r>
      <w:proofErr w:type="gramStart"/>
      <w:r>
        <w:rPr>
          <w:rFonts w:ascii="Times New Roman" w:hAnsi="Times New Roman" w:cs="Times New Roman"/>
          <w:sz w:val="26"/>
          <w:szCs w:val="26"/>
        </w:rPr>
        <w:t>ряде</w:t>
      </w:r>
      <w:proofErr w:type="gramEnd"/>
      <w:r>
        <w:rPr>
          <w:rFonts w:ascii="Times New Roman" w:hAnsi="Times New Roman" w:cs="Times New Roman"/>
          <w:sz w:val="26"/>
          <w:szCs w:val="26"/>
        </w:rPr>
        <w:t xml:space="preserve"> случаев является недостаточным – например, из-за несвоевременной доставки почты или иных сбоев в ее работе. Они уверены, что увеличение этого срока будет способствовать совершенствованию механизма взыскания штрафов за административные правонарушения в области дорожного движения.</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xml:space="preserve">Ранее в Госдуму был внесен законопроект, предусматривающий уточнение порядка оплаты штрафов со скидкой, касающееся дня, с которого исчисляется установленный льготный период. Согласно поправкам оплатить штраф с 50%-ной скидкой можно будет в течение 20 дней после вступления в силу соответствующего постановления, а не со дня его вынесения, как в настоящее время. </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xml:space="preserve">ГАРАНТ.РУ: </w:t>
      </w:r>
      <w:hyperlink r:id="rId18" w:anchor="ixzz5tggI0LZD" w:history="1">
        <w:r>
          <w:rPr>
            <w:rStyle w:val="a3"/>
            <w:rFonts w:ascii="Times New Roman" w:hAnsi="Times New Roman" w:cs="Times New Roman"/>
            <w:sz w:val="26"/>
            <w:szCs w:val="26"/>
          </w:rPr>
          <w:t>http://www.garant.ru/news/1282046/#ixzz5tggI0LZD</w:t>
        </w:r>
      </w:hyperlink>
    </w:p>
    <w:p w:rsidR="00071A68" w:rsidRDefault="00071A68" w:rsidP="00071A68">
      <w:pPr>
        <w:jc w:val="both"/>
        <w:rPr>
          <w:rFonts w:ascii="Times New Roman" w:hAnsi="Times New Roman" w:cs="Times New Roman"/>
          <w:sz w:val="26"/>
          <w:szCs w:val="26"/>
        </w:rPr>
      </w:pPr>
    </w:p>
    <w:p w:rsidR="00071A68" w:rsidRDefault="00071A68" w:rsidP="00071A68">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Минтруд России планирует повысить величину прожиточного минимума</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12 июля 2019</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Министерство разработало и вынесло на общественное обсуждение (оно продлится до 25 июля) соответствующий проект постановления.</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Согласно документу величина прожиточного минимума в целом по России за II квартал 2019 года на душу населения составит 11 185 руб., для трудоспособного населения – 12 130 руб., пенсионеров – 9236 руб., детей – 11 004 руб. По сравнению с предыдущим кварталом эти показатели больше на душу населения и для детей на 4%, для трудоспособного населения – на 4,1%, а для пенсионеров – на 3,8%. В свою очередь, величина прожиточного минимума за аналогичный период прошлого года была установлена в сумме 10 444 руб., 11 280 руб., 8583 руб. и 10 390 руб. соответственно.</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Величина прожиточного минимума в целом по России необходима для оценки уровня жизни населения при разработке и реализации социальной политики и федеральных социальных программ, обоснования минимального размера оплаты труда. Она применяется для определения устанавливаемых на федеральном уровне размеров стипендий, пособий, других социальных выплат и учитывается при формировании федерального бюджета (п. 1 ст. 2 Закона № 134-ФЗ). </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19" w:anchor="ixzz5tgeYFDbJ" w:history="1">
        <w:r>
          <w:rPr>
            <w:rStyle w:val="a3"/>
            <w:rFonts w:ascii="Times New Roman" w:hAnsi="Times New Roman" w:cs="Times New Roman"/>
            <w:sz w:val="26"/>
            <w:szCs w:val="26"/>
          </w:rPr>
          <w:t>http://www.garant.ru/news/1282007/#ixzz5tgeYFDbJ</w:t>
        </w:r>
      </w:hyperlink>
    </w:p>
    <w:p w:rsidR="00071A68" w:rsidRDefault="00071A68" w:rsidP="00071A68">
      <w:pPr>
        <w:jc w:val="both"/>
        <w:rPr>
          <w:rFonts w:ascii="Times New Roman" w:hAnsi="Times New Roman" w:cs="Times New Roman"/>
          <w:sz w:val="26"/>
          <w:szCs w:val="26"/>
        </w:rPr>
      </w:pP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П</w:t>
      </w:r>
      <w:r>
        <w:rPr>
          <w:rFonts w:ascii="Times New Roman" w:hAnsi="Times New Roman" w:cs="Times New Roman"/>
          <w:b/>
          <w:bCs/>
          <w:color w:val="7030A0"/>
          <w:sz w:val="26"/>
          <w:szCs w:val="26"/>
          <w:u w:val="single"/>
        </w:rPr>
        <w:t>одготовлен закон об экспериментальных правовых режимах в сфере цифровых инноваций в РФ</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12 июля 2019</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Проект документа разработало Минэкономразвития России. Он направлен на независимую антикоррупционную экспертизу, которая продлится до 17 июля.</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Под экспериментальным правовым режимом понимается применение в течение определенного периода времени в отношении определенного круга лиц специального регулирования в сфере цифровых инноваций. Такое спецрегулирование предполагает возможность неприменения отдельных нормативных правовых актов или норм, касающихся обязательных требований по лицензированию, аккредитации, сертификации, подтверждению соответствия, получению допусков, разрешений, по направлению и получению юридически значимых сообщений, по способам проведения идентификации сторон правоотношений в сфере цифровых инноваций.</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Цифровой инновацией считаются новые или существенно улучшенные продукты (товары, результаты работ, услуги, охраняемые результаты интеллектуальной деятельности), вводимые в гражданский оборот, созданные или используемые по следующим направлениям:</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разработка, тестирование и применение цифровых медицинских технологий, включая телемедицинские технологии, применение технологий сбора и обработки сведений о состоянии здоровья и диагнозах физлиц;</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разработка, тестирование и эксплуатация высокоавтоматизированных транспортных средств;</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применение электронного обучения и дистанционных образовательных технологий в образовательной и профессиональной деятельности;</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применение новых технологий на финансовом рынке;</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использование новых технологий при продаже товаров, работ, услуг дистанционным способом;</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внедрение новых технологий в сфере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и т. д.</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Документом определен порядок инициирования, установления, реализации, мониторинга реализации, определения результатов реализации экспериментальных правовых режимов в сфере цифровых инноваций, а также принципы и критерии допустимости их установления. Субъектами экспериментального режима могут выступать как юридические лица и ИП, так и органы исполнительной власти, органы местной администрации, деятельность которых осуществляется на основе использования цифровой инновации. Также планируется формирование реестра экспериментальных режимов.</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lastRenderedPageBreak/>
        <w:t xml:space="preserve">Разработчики инициативы отмечают, что законопроект позволит лицам, занимающимся разработкой и внедрением цифровых инноваций, осуществить их практическое применение и проверить их полезность в </w:t>
      </w:r>
      <w:proofErr w:type="gramStart"/>
      <w:r>
        <w:rPr>
          <w:rFonts w:ascii="Times New Roman" w:hAnsi="Times New Roman" w:cs="Times New Roman"/>
          <w:sz w:val="26"/>
          <w:szCs w:val="26"/>
        </w:rPr>
        <w:t>условиях</w:t>
      </w:r>
      <w:proofErr w:type="gramEnd"/>
      <w:r>
        <w:rPr>
          <w:rFonts w:ascii="Times New Roman" w:hAnsi="Times New Roman" w:cs="Times New Roman"/>
          <w:sz w:val="26"/>
          <w:szCs w:val="26"/>
        </w:rPr>
        <w:t xml:space="preserve"> отказа от ограничений, установленных нормативными правовыми актами, без риска их нарушения. "Данный инструмент развития цифровых инноваций используется в мировой практике (в большей мере касается рынка финансовых услуг) и позволяет сократить время и издержки внедрения инновационных продуктов и усовершенствовать соответствующее нормативное правовое регулирование", – подчеркивается в пояснительной записке к документу.</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20" w:anchor="ixzz5tghtqmeu" w:history="1">
        <w:r>
          <w:rPr>
            <w:rStyle w:val="a3"/>
            <w:rFonts w:ascii="Times New Roman" w:hAnsi="Times New Roman" w:cs="Times New Roman"/>
            <w:sz w:val="26"/>
            <w:szCs w:val="26"/>
          </w:rPr>
          <w:t>http://www.garant.ru/news/1282012/#ixzz5tghtqmeu</w:t>
        </w:r>
      </w:hyperlink>
    </w:p>
    <w:p w:rsidR="00071A68" w:rsidRDefault="00071A68" w:rsidP="00071A68">
      <w:pPr>
        <w:jc w:val="both"/>
        <w:rPr>
          <w:rFonts w:ascii="Times New Roman" w:hAnsi="Times New Roman" w:cs="Times New Roman"/>
          <w:sz w:val="26"/>
          <w:szCs w:val="26"/>
        </w:rPr>
      </w:pPr>
    </w:p>
    <w:p w:rsidR="00071A68" w:rsidRDefault="00071A68" w:rsidP="00071A68">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Расширенные сведения о ходе исполнительного производства можно будет получить через Единый портал госуслуг</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12 июля 2019</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Такая возможность будет реализована в рамках функционирования сервиса по исполнительному производству, концепцию которого уже одобрила Правительственная комиссия по цифровому развитию, использованию информационных технологий для улучшения качества жизни и условий ведения предпринимательской деятельности. Об этом сегодня сообщается на официальном сайте Минкомсвязи России.</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Речь идет о предоставлении пользователям Единого портала госуслуг (как гражданам, так и представителям бизнеса) возможности получать в электронном виде расширенные сведения о ходе исполнительного производства, сторонами которого они являются. "Информация будет предоставляться в течение 30 секунд автоматически, без необходимости личного взаимодействия с уполномоченными службами. При этом повысится ее точность и оперативность", – отмечает пресс-служба министерства.</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Также через портал госуслуг можно будет:</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отслеживать процесс снятия ограничения на выезд из России;</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подавать заявления, ходатайства, получать уведомления из ФССП России (в т. ч. через банки, имеющие необходимые технические возможности), взаимодействовать со службой по различным вопросам в онлайн-режиме;</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погашать задолженность до возбуждения исполнительного производства (при этом срок получения средств взыскателем сократится до двух дней).</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xml:space="preserve">Внедрение сервиса позволит существенно (не менее чем в два раза) снизить нагрузку на ФССП России, банки и другие органы, которые в настоящее время граждане вынуждены посещать лично. Апробировать работу сервиса планируется уже в </w:t>
      </w:r>
      <w:proofErr w:type="gramStart"/>
      <w:r>
        <w:rPr>
          <w:rFonts w:ascii="Times New Roman" w:hAnsi="Times New Roman" w:cs="Times New Roman"/>
          <w:sz w:val="26"/>
          <w:szCs w:val="26"/>
        </w:rPr>
        <w:t>октябре</w:t>
      </w:r>
      <w:proofErr w:type="gramEnd"/>
      <w:r>
        <w:rPr>
          <w:rFonts w:ascii="Times New Roman" w:hAnsi="Times New Roman" w:cs="Times New Roman"/>
          <w:sz w:val="26"/>
          <w:szCs w:val="26"/>
        </w:rPr>
        <w:t xml:space="preserve"> 2019 года – в пилотном режиме он стартует в Республике Карелия.</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xml:space="preserve">В целом же, по информации Минкомсвязи России, Правительственная комиссия еще в марте текущего года утвердила перечень 25 сервисов – проактивных комплексных госуслуг, связанных с распространенными жизненными ситуациями. </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21" w:anchor="ixzz5tgiDDAVq" w:history="1">
        <w:r>
          <w:rPr>
            <w:rStyle w:val="a3"/>
            <w:rFonts w:ascii="Times New Roman" w:hAnsi="Times New Roman" w:cs="Times New Roman"/>
            <w:sz w:val="26"/>
            <w:szCs w:val="26"/>
          </w:rPr>
          <w:t>http://www.garant.ru/news/1282149/#ixzz5tgiDDAVq</w:t>
        </w:r>
      </w:hyperlink>
    </w:p>
    <w:p w:rsidR="00071A68" w:rsidRDefault="00071A68" w:rsidP="00071A68">
      <w:pPr>
        <w:jc w:val="both"/>
        <w:rPr>
          <w:rFonts w:ascii="Times New Roman" w:hAnsi="Times New Roman" w:cs="Times New Roman"/>
          <w:sz w:val="26"/>
          <w:szCs w:val="26"/>
        </w:rPr>
      </w:pPr>
    </w:p>
    <w:p w:rsidR="00071A68" w:rsidRDefault="00071A68" w:rsidP="00071A68">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До 19 июля продлится тестирование калькулятора налоговой нагрузки</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ФНС России в начале этого года разработала калькулятор для расчета налоговой нагрузки в рамках электронного сервиса "Прозрачный бизнес" (</w:t>
      </w:r>
      <w:hyperlink r:id="rId22" w:history="1">
        <w:r>
          <w:rPr>
            <w:rStyle w:val="a3"/>
            <w:rFonts w:ascii="Times New Roman" w:hAnsi="Times New Roman" w:cs="Times New Roman"/>
            <w:sz w:val="26"/>
            <w:szCs w:val="26"/>
          </w:rPr>
          <w:t>https://pb.nalog.ru/calculator.html</w:t>
        </w:r>
      </w:hyperlink>
      <w:r>
        <w:rPr>
          <w:rFonts w:ascii="Times New Roman" w:hAnsi="Times New Roman" w:cs="Times New Roman"/>
          <w:sz w:val="26"/>
          <w:szCs w:val="26"/>
        </w:rPr>
        <w:t xml:space="preserve">). Он позволяет получить комплексную </w:t>
      </w:r>
      <w:r>
        <w:rPr>
          <w:rFonts w:ascii="Times New Roman" w:hAnsi="Times New Roman" w:cs="Times New Roman"/>
          <w:sz w:val="26"/>
          <w:szCs w:val="26"/>
        </w:rPr>
        <w:lastRenderedPageBreak/>
        <w:t>информацию о налогоплательщике, а значит, повысить защищенность при выборе контрагентов компании.</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Изначально налоговая нагрузка определялась как соотношение суммы уплаченных налогов по данным отчетности налоговых органов и оборота (выручки) организаций по данным Росстата (приказ ФНС России от 30 мая 2007 г. № ММ-3-06/333@).</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xml:space="preserve">В настоящее время налоговое ведомство использует только свои данные для определения налоговой нагрузки, учитывая территориальную принадлежность и различные виды деятельности (более 300 кодов ОКВЭД). Тем не </w:t>
      </w:r>
      <w:proofErr w:type="gramStart"/>
      <w:r>
        <w:rPr>
          <w:rFonts w:ascii="Times New Roman" w:hAnsi="Times New Roman" w:cs="Times New Roman"/>
          <w:sz w:val="26"/>
          <w:szCs w:val="26"/>
        </w:rPr>
        <w:t>менее</w:t>
      </w:r>
      <w:proofErr w:type="gramEnd"/>
      <w:r>
        <w:rPr>
          <w:rFonts w:ascii="Times New Roman" w:hAnsi="Times New Roman" w:cs="Times New Roman"/>
          <w:sz w:val="26"/>
          <w:szCs w:val="26"/>
        </w:rPr>
        <w:t xml:space="preserve"> ряд проблем еще не решен. Как выяснили в экспертном </w:t>
      </w:r>
      <w:proofErr w:type="gramStart"/>
      <w:r>
        <w:rPr>
          <w:rFonts w:ascii="Times New Roman" w:hAnsi="Times New Roman" w:cs="Times New Roman"/>
          <w:sz w:val="26"/>
          <w:szCs w:val="26"/>
        </w:rPr>
        <w:t>центре</w:t>
      </w:r>
      <w:proofErr w:type="gramEnd"/>
      <w:r>
        <w:rPr>
          <w:rFonts w:ascii="Times New Roman" w:hAnsi="Times New Roman" w:cs="Times New Roman"/>
          <w:sz w:val="26"/>
          <w:szCs w:val="26"/>
        </w:rPr>
        <w:t xml:space="preserve"> бизнес-омбудсмена, в подавляющем большинстве случаев, показатели налогового калькулятора существенно ниже рассчитанных Росстатом. Для оценки реальной налоговой нагрузки планируется расширить перечень критериев, например таких, как размер бизнеса (микро, малый, средний и крупный). Также планируется использовать агрегированные данные по другим муниципальным районам внутри субъектов РФ.</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xml:space="preserve">Для этого в настоящее время проходит программа тестирования сервиса. Она состоит из двух этапов. Первый – организация заполняет данные в </w:t>
      </w:r>
      <w:proofErr w:type="gramStart"/>
      <w:r>
        <w:rPr>
          <w:rFonts w:ascii="Times New Roman" w:hAnsi="Times New Roman" w:cs="Times New Roman"/>
          <w:sz w:val="26"/>
          <w:szCs w:val="26"/>
        </w:rPr>
        <w:t>калькуляторе</w:t>
      </w:r>
      <w:proofErr w:type="gramEnd"/>
      <w:r>
        <w:rPr>
          <w:rFonts w:ascii="Times New Roman" w:hAnsi="Times New Roman" w:cs="Times New Roman"/>
          <w:sz w:val="26"/>
          <w:szCs w:val="26"/>
        </w:rPr>
        <w:t xml:space="preserve"> (</w:t>
      </w:r>
      <w:hyperlink r:id="rId23" w:history="1">
        <w:r>
          <w:rPr>
            <w:rStyle w:val="a3"/>
            <w:rFonts w:ascii="Times New Roman" w:hAnsi="Times New Roman" w:cs="Times New Roman"/>
            <w:sz w:val="26"/>
            <w:szCs w:val="26"/>
          </w:rPr>
          <w:t>https://pb.nalog.ru/calculator.html</w:t>
        </w:r>
      </w:hyperlink>
      <w:r>
        <w:rPr>
          <w:rFonts w:ascii="Times New Roman" w:hAnsi="Times New Roman" w:cs="Times New Roman"/>
          <w:sz w:val="26"/>
          <w:szCs w:val="26"/>
        </w:rPr>
        <w:t>). В нем нужно указать лишь регион и вид деятельности, а также налоговый период. Второй – нужно ответить на несколько вопросов анкеты Федеральной программы тестирования сервиса ФНС России "Налоговый калькулятор" (</w:t>
      </w:r>
      <w:hyperlink r:id="rId24" w:history="1">
        <w:r>
          <w:rPr>
            <w:rStyle w:val="a3"/>
            <w:rFonts w:ascii="Times New Roman" w:hAnsi="Times New Roman" w:cs="Times New Roman"/>
            <w:sz w:val="26"/>
            <w:szCs w:val="26"/>
          </w:rPr>
          <w:t>https://docs.google.com/forms/d/e/1FAIpQLSdaBlSb4kCgV1qoOef8WGLYwkT3ZdEvJmB6u6ulIVHgbFFs0g/viewform?vc=0&amp;c=0&amp;w=1&amp;usp=mail_form_link</w:t>
        </w:r>
      </w:hyperlink>
      <w:r>
        <w:rPr>
          <w:rFonts w:ascii="Times New Roman" w:hAnsi="Times New Roman" w:cs="Times New Roman"/>
          <w:sz w:val="26"/>
          <w:szCs w:val="26"/>
        </w:rPr>
        <w:t>).</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xml:space="preserve">Тестирование продлится до 19 июля, и, как предполагается, в </w:t>
      </w:r>
      <w:proofErr w:type="gramStart"/>
      <w:r>
        <w:rPr>
          <w:rFonts w:ascii="Times New Roman" w:hAnsi="Times New Roman" w:cs="Times New Roman"/>
          <w:sz w:val="26"/>
          <w:szCs w:val="26"/>
        </w:rPr>
        <w:t>нем</w:t>
      </w:r>
      <w:proofErr w:type="gramEnd"/>
      <w:r>
        <w:rPr>
          <w:rFonts w:ascii="Times New Roman" w:hAnsi="Times New Roman" w:cs="Times New Roman"/>
          <w:sz w:val="26"/>
          <w:szCs w:val="26"/>
        </w:rPr>
        <w:t xml:space="preserve"> примут участие предприниматели, руководители, финансовые директора, главные бухгалтеры организаций, а также эксперты, представляющие бизнес.</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25" w:anchor="ixzz5tgl1pbZS" w:history="1">
        <w:r>
          <w:rPr>
            <w:rStyle w:val="a3"/>
            <w:rFonts w:ascii="Times New Roman" w:hAnsi="Times New Roman" w:cs="Times New Roman"/>
            <w:sz w:val="26"/>
            <w:szCs w:val="26"/>
          </w:rPr>
          <w:t>http://www.garant.ru/news/1280338/#ixzz5tgl1pbZS</w:t>
        </w:r>
      </w:hyperlink>
    </w:p>
    <w:p w:rsidR="00071A68" w:rsidRDefault="00071A68" w:rsidP="00071A68">
      <w:pPr>
        <w:jc w:val="both"/>
        <w:rPr>
          <w:rFonts w:ascii="Times New Roman" w:hAnsi="Times New Roman" w:cs="Times New Roman"/>
          <w:sz w:val="26"/>
          <w:szCs w:val="26"/>
        </w:rPr>
      </w:pPr>
    </w:p>
    <w:p w:rsidR="00071A68" w:rsidRDefault="00071A68" w:rsidP="00071A68">
      <w:pPr>
        <w:jc w:val="both"/>
        <w:rPr>
          <w:rFonts w:ascii="Times New Roman" w:hAnsi="Times New Roman" w:cs="Times New Roman"/>
          <w:b/>
          <w:bCs/>
          <w:color w:val="7030A0"/>
          <w:sz w:val="26"/>
          <w:szCs w:val="26"/>
          <w:u w:val="single"/>
        </w:rPr>
      </w:pPr>
      <w:proofErr w:type="spellStart"/>
      <w:r>
        <w:rPr>
          <w:rFonts w:ascii="Times New Roman" w:hAnsi="Times New Roman" w:cs="Times New Roman"/>
          <w:b/>
          <w:bCs/>
          <w:color w:val="7030A0"/>
          <w:sz w:val="26"/>
          <w:szCs w:val="26"/>
          <w:u w:val="single"/>
        </w:rPr>
        <w:t>Росреестр</w:t>
      </w:r>
      <w:proofErr w:type="spellEnd"/>
      <w:r>
        <w:rPr>
          <w:rFonts w:ascii="Times New Roman" w:hAnsi="Times New Roman" w:cs="Times New Roman"/>
          <w:b/>
          <w:bCs/>
          <w:color w:val="7030A0"/>
          <w:sz w:val="26"/>
          <w:szCs w:val="26"/>
          <w:u w:val="single"/>
        </w:rPr>
        <w:t xml:space="preserve"> напомнил собственникам о возможности установить "запрет" на сделки с недвижимостью без их личного участия</w:t>
      </w:r>
    </w:p>
    <w:p w:rsidR="00071A68" w:rsidRDefault="00071A68" w:rsidP="00071A68">
      <w:pPr>
        <w:jc w:val="both"/>
        <w:rPr>
          <w:rFonts w:ascii="Times New Roman" w:hAnsi="Times New Roman" w:cs="Times New Roman"/>
          <w:sz w:val="26"/>
          <w:szCs w:val="26"/>
        </w:rPr>
      </w:pPr>
      <w:proofErr w:type="spellStart"/>
      <w:r>
        <w:rPr>
          <w:rFonts w:ascii="Times New Roman" w:hAnsi="Times New Roman" w:cs="Times New Roman"/>
          <w:sz w:val="26"/>
          <w:szCs w:val="26"/>
        </w:rPr>
        <w:t>Росреестр</w:t>
      </w:r>
      <w:proofErr w:type="spellEnd"/>
      <w:r>
        <w:rPr>
          <w:rFonts w:ascii="Times New Roman" w:hAnsi="Times New Roman" w:cs="Times New Roman"/>
          <w:sz w:val="26"/>
          <w:szCs w:val="26"/>
        </w:rPr>
        <w:t xml:space="preserve"> напомнил, что любой владелец недвижимого имущества может подать заявление о том, что сделки с принадлежащим ему имуществом могут производиться только при его личном участии. При подаче такого заявления в Единый государственный реестр недвижимости (ЕГРН) будет внесена соответствующая запись (информация Росреестра от 14 июня 2019 г.).</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Речь идет о подаче собственником объекта недвижимости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Правила внесения в ЕГРН отметки о невозможности регистрации и основания ее погашения предусмотрены ст. 36 Федерального закона от 13 июля 2015 г. № 218-ФЗ "О государственной регистрации недвижимости" (далее – Закон № 218-ФЗ).</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Наличие такой записи в ЕГРН является основанием для возврата без рассмотрения заявления (п. 4 ст. 25 Закона № 218-ФЗ), представленного на государственную регистрацию прав другим лицом (не являющимся собственником объекта недвижимости или его законным представителем).</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xml:space="preserve">Однако наличие в ЕГРН указанной отметки не препятствует государственной регистрации перехода, прекращения, ограничения права и обременения объекта </w:t>
      </w:r>
      <w:r>
        <w:rPr>
          <w:rFonts w:ascii="Times New Roman" w:hAnsi="Times New Roman" w:cs="Times New Roman"/>
          <w:sz w:val="26"/>
          <w:szCs w:val="26"/>
        </w:rPr>
        <w:lastRenderedPageBreak/>
        <w:t>недвижимости (ч. 3 ст. 36 Закона № 218-ФЗ), если основанием для госрегистрации права является:</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вступившее в законную силу решение суда,</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требование судебного пристава-исполнителя в случаях, предусмотренных Федеральным законом от 2 октября 2007 г. № 229-ФЗ "Об исполнительном производстве"</w:t>
      </w:r>
      <w:proofErr w:type="gramStart"/>
      <w:r>
        <w:rPr>
          <w:rFonts w:ascii="Times New Roman" w:hAnsi="Times New Roman" w:cs="Times New Roman"/>
          <w:sz w:val="26"/>
          <w:szCs w:val="26"/>
        </w:rPr>
        <w:t xml:space="preserve"> ;</w:t>
      </w:r>
      <w:proofErr w:type="gramEnd"/>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в иных случаях, установленных федеральными законами.</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К сведению: в июне 2019 года в Госдуму был внесен проект поправок в Закон № 218-ФЗ, направленный на защиту граждан от новых мошеннических схем завладения недвижимостью – путем получения незаконного доступа к ключу проверки электронной подписи и последующей подачи в Росреестр соответствующего заявления от имени собственника в электронной форме.</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Предлагается в Законе № 218-ФЗ предусмотреть, что внесение сведений в ЕГРН об отчуждении объекта недвижимости, принадлежащего физлицу на праве собственности, путем подачи заявления в электронной форме таким физическим лицом или его представителем, осуществляется только при наличии в ЕГРН специальной записи о возможности такой формы подачи документов.</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Данная отметка будет вноситься в ЕГРН на основании заявления собственника объекта недвижимости (его законного представителя), направленного посредством личного обращения или почтового отправления. При отсутствии такой записи в реестре заявление, подписанное электронной подписью гражданина или его представителя, будет возвращено без рассмотрения.</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26" w:anchor="ixzz5tgmsi6OO" w:history="1">
        <w:r>
          <w:rPr>
            <w:rStyle w:val="a3"/>
            <w:rFonts w:ascii="Times New Roman" w:hAnsi="Times New Roman" w:cs="Times New Roman"/>
            <w:sz w:val="26"/>
            <w:szCs w:val="26"/>
          </w:rPr>
          <w:t>http://www.garant.ru/news/1279767/#ixzz5tgmsi6OO</w:t>
        </w:r>
      </w:hyperlink>
    </w:p>
    <w:p w:rsidR="00071A68" w:rsidRDefault="00071A68" w:rsidP="00071A68">
      <w:pPr>
        <w:jc w:val="both"/>
        <w:rPr>
          <w:rFonts w:ascii="Times New Roman" w:hAnsi="Times New Roman" w:cs="Times New Roman"/>
          <w:sz w:val="26"/>
          <w:szCs w:val="26"/>
        </w:rPr>
      </w:pPr>
    </w:p>
    <w:p w:rsidR="00071A68" w:rsidRDefault="00071A68" w:rsidP="00071A68">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 xml:space="preserve">Госдума приняла в </w:t>
      </w:r>
      <w:proofErr w:type="gramStart"/>
      <w:r>
        <w:rPr>
          <w:rFonts w:ascii="Times New Roman" w:hAnsi="Times New Roman" w:cs="Times New Roman"/>
          <w:b/>
          <w:bCs/>
          <w:color w:val="7030A0"/>
          <w:sz w:val="26"/>
          <w:szCs w:val="26"/>
          <w:u w:val="single"/>
        </w:rPr>
        <w:t>первом</w:t>
      </w:r>
      <w:proofErr w:type="gramEnd"/>
      <w:r>
        <w:rPr>
          <w:rFonts w:ascii="Times New Roman" w:hAnsi="Times New Roman" w:cs="Times New Roman"/>
          <w:b/>
          <w:bCs/>
          <w:color w:val="7030A0"/>
          <w:sz w:val="26"/>
          <w:szCs w:val="26"/>
          <w:u w:val="single"/>
        </w:rPr>
        <w:t xml:space="preserve"> чтении проект поправок в закон о государственной регистрации недвижимости</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11 июля 2019</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В указанном законе предлагается предусмотреть, что внесение сведений в ЕГРН об отчуждении объекта недвижимости, принадлежащего физлицу на праве собственности, путем подачи соответствующего заявления в электронной форме таким физическим лицом или его представителем, осуществляется только при наличии в ЕГРН специальной записи о возможности такой формы подачи документов.</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Согласно проекту, данную отметку будут вносить в ЕГРН на основании заявления собственника объекта недвижимости (его законного представителя), направленного посредством личного обращения или почтового отправления, в срок не более 5 рабочих дней с момента его поступления.</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 xml:space="preserve">При отсутствии такой записи в реестре заявление, подписанное электронной подписью гражданина или его представителя, вернут без рассмотрения. При этом заявления в электронной форме, подаваемые в интересах собственника нотариусом или органом государственной власти, согласно проекту, примут и при отсутствии отметки. </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Как указано в пояснительной записке к законопроекту, он направлен на защиту граждан от новых мошеннических схем завладения недвижимостью – путем получения незаконного доступа к ключу проверки электронной подписи и последующей подачи в Росреестр заявления о государственной регистрации перехода, прекращения права на объект недвижимости от имени собственника в электронной форме.</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lastRenderedPageBreak/>
        <w:t>Авторы инициативы отмечают, что даже наличие в ЕГРН записи о невозможности государственной регистрации без личного участия правообладателя (возможность внесения которой уже предусмотрена Федеральным законом от 13 июля 2015 г. № 218-ФЗ "О государственной регистрации недвижимости") не защищает в полной мере владельца недвижимости в случае недобросовестных манипуляций при подаче заявления на госрегистрацию прав в электронной форме, поскольку предполагает лишь невозможность ее осуществления на основании доверенности.</w:t>
      </w:r>
    </w:p>
    <w:p w:rsidR="00071A68" w:rsidRDefault="00071A68" w:rsidP="00071A68">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27" w:anchor="ixzz5tgrZIwGs" w:history="1">
        <w:r>
          <w:rPr>
            <w:rStyle w:val="a3"/>
            <w:rFonts w:ascii="Times New Roman" w:hAnsi="Times New Roman" w:cs="Times New Roman"/>
            <w:sz w:val="26"/>
            <w:szCs w:val="26"/>
          </w:rPr>
          <w:t>http://www.garant.ru/news/1281918/#ixzz5tgrZIwGs</w:t>
        </w:r>
      </w:hyperlink>
    </w:p>
    <w:p w:rsidR="00071A68" w:rsidRDefault="00071A68" w:rsidP="00071A68">
      <w:pPr>
        <w:jc w:val="both"/>
        <w:rPr>
          <w:rFonts w:ascii="Times New Roman" w:hAnsi="Times New Roman" w:cs="Times New Roman"/>
          <w:sz w:val="26"/>
          <w:szCs w:val="26"/>
        </w:rPr>
      </w:pPr>
    </w:p>
    <w:p w:rsidR="00071A68" w:rsidRDefault="00071A68" w:rsidP="00071A68">
      <w:pPr>
        <w:jc w:val="both"/>
        <w:rPr>
          <w:rFonts w:ascii="Times New Roman" w:hAnsi="Times New Roman" w:cs="Times New Roman"/>
          <w:sz w:val="26"/>
          <w:szCs w:val="26"/>
        </w:rPr>
      </w:pPr>
    </w:p>
    <w:p w:rsidR="00071A68" w:rsidRDefault="00071A68" w:rsidP="00071A68">
      <w:pPr>
        <w:jc w:val="both"/>
        <w:rPr>
          <w:rFonts w:ascii="Times New Roman" w:hAnsi="Times New Roman" w:cs="Times New Roman"/>
          <w:sz w:val="26"/>
          <w:szCs w:val="26"/>
        </w:rPr>
      </w:pPr>
    </w:p>
    <w:p w:rsidR="00071A68" w:rsidRDefault="00071A68" w:rsidP="00071A68">
      <w:pPr>
        <w:jc w:val="both"/>
        <w:rPr>
          <w:rFonts w:ascii="Times New Roman" w:hAnsi="Times New Roman" w:cs="Times New Roman"/>
          <w:sz w:val="26"/>
          <w:szCs w:val="26"/>
        </w:rPr>
      </w:pPr>
    </w:p>
    <w:p w:rsidR="00071A68" w:rsidRDefault="00071A68" w:rsidP="00071A68">
      <w:pPr>
        <w:jc w:val="both"/>
        <w:rPr>
          <w:rFonts w:ascii="Times New Roman" w:hAnsi="Times New Roman" w:cs="Times New Roman"/>
          <w:sz w:val="26"/>
          <w:szCs w:val="26"/>
        </w:rPr>
      </w:pPr>
    </w:p>
    <w:p w:rsidR="00071A68" w:rsidRDefault="00071A68" w:rsidP="00071A68">
      <w:pPr>
        <w:jc w:val="both"/>
        <w:rPr>
          <w:rFonts w:ascii="Times New Roman" w:hAnsi="Times New Roman" w:cs="Times New Roman"/>
          <w:sz w:val="26"/>
          <w:szCs w:val="26"/>
        </w:rPr>
      </w:pPr>
    </w:p>
    <w:p w:rsidR="00071A68" w:rsidRDefault="00071A68" w:rsidP="00071A68">
      <w:pPr>
        <w:jc w:val="both"/>
        <w:rPr>
          <w:rFonts w:ascii="Times New Roman" w:hAnsi="Times New Roman" w:cs="Times New Roman"/>
          <w:sz w:val="26"/>
          <w:szCs w:val="26"/>
        </w:rPr>
      </w:pPr>
    </w:p>
    <w:p w:rsidR="00071A68" w:rsidRDefault="00071A68" w:rsidP="00071A68">
      <w:pPr>
        <w:jc w:val="both"/>
        <w:rPr>
          <w:rFonts w:ascii="Times New Roman" w:hAnsi="Times New Roman" w:cs="Times New Roman"/>
          <w:sz w:val="26"/>
          <w:szCs w:val="26"/>
        </w:rPr>
      </w:pPr>
    </w:p>
    <w:p w:rsidR="00071A68" w:rsidRDefault="00071A68" w:rsidP="00071A68">
      <w:pPr>
        <w:jc w:val="both"/>
        <w:rPr>
          <w:rFonts w:ascii="Times New Roman" w:hAnsi="Times New Roman" w:cs="Times New Roman"/>
          <w:sz w:val="26"/>
          <w:szCs w:val="26"/>
        </w:rPr>
      </w:pPr>
    </w:p>
    <w:p w:rsidR="00071A68" w:rsidRDefault="00071A68" w:rsidP="00071A68">
      <w:pPr>
        <w:jc w:val="both"/>
        <w:rPr>
          <w:rFonts w:ascii="Times New Roman" w:hAnsi="Times New Roman" w:cs="Times New Roman"/>
          <w:sz w:val="26"/>
          <w:szCs w:val="26"/>
        </w:rPr>
      </w:pPr>
    </w:p>
    <w:p w:rsidR="00071A68" w:rsidRDefault="00071A68" w:rsidP="00071A68">
      <w:pPr>
        <w:jc w:val="both"/>
        <w:rPr>
          <w:rFonts w:ascii="Times New Roman" w:hAnsi="Times New Roman" w:cs="Times New Roman"/>
          <w:sz w:val="26"/>
          <w:szCs w:val="26"/>
        </w:rPr>
      </w:pPr>
    </w:p>
    <w:p w:rsidR="00071A68" w:rsidRDefault="00071A68" w:rsidP="00071A68">
      <w:pPr>
        <w:jc w:val="both"/>
        <w:rPr>
          <w:rFonts w:ascii="Times New Roman" w:hAnsi="Times New Roman" w:cs="Times New Roman"/>
          <w:sz w:val="26"/>
          <w:szCs w:val="26"/>
        </w:rPr>
      </w:pPr>
    </w:p>
    <w:p w:rsidR="00071A68" w:rsidRDefault="00071A68" w:rsidP="00071A68">
      <w:pPr>
        <w:jc w:val="both"/>
        <w:rPr>
          <w:rFonts w:ascii="Times New Roman" w:hAnsi="Times New Roman" w:cs="Times New Roman"/>
          <w:sz w:val="26"/>
          <w:szCs w:val="26"/>
        </w:rPr>
      </w:pPr>
    </w:p>
    <w:p w:rsidR="00071A68" w:rsidRDefault="00071A68" w:rsidP="00071A68">
      <w:pPr>
        <w:jc w:val="both"/>
        <w:rPr>
          <w:rFonts w:ascii="Times New Roman" w:hAnsi="Times New Roman" w:cs="Times New Roman"/>
          <w:sz w:val="26"/>
          <w:szCs w:val="26"/>
        </w:rPr>
      </w:pPr>
    </w:p>
    <w:p w:rsidR="00071A68" w:rsidRDefault="00071A68" w:rsidP="00071A68">
      <w:pPr>
        <w:jc w:val="both"/>
        <w:rPr>
          <w:rFonts w:ascii="Times New Roman" w:hAnsi="Times New Roman" w:cs="Times New Roman"/>
          <w:sz w:val="26"/>
          <w:szCs w:val="26"/>
        </w:rPr>
      </w:pPr>
    </w:p>
    <w:p w:rsidR="00071A68" w:rsidRDefault="00071A68" w:rsidP="00071A68">
      <w:pPr>
        <w:jc w:val="both"/>
        <w:rPr>
          <w:rFonts w:ascii="Times New Roman" w:hAnsi="Times New Roman" w:cs="Times New Roman"/>
          <w:sz w:val="26"/>
          <w:szCs w:val="26"/>
        </w:rPr>
      </w:pPr>
    </w:p>
    <w:p w:rsidR="00071A68" w:rsidRDefault="00071A68" w:rsidP="00071A68">
      <w:pPr>
        <w:jc w:val="both"/>
        <w:rPr>
          <w:rFonts w:ascii="Times New Roman" w:hAnsi="Times New Roman" w:cs="Times New Roman"/>
          <w:sz w:val="26"/>
          <w:szCs w:val="26"/>
        </w:rPr>
      </w:pPr>
    </w:p>
    <w:p w:rsidR="00071A68" w:rsidRDefault="00071A68" w:rsidP="00071A68">
      <w:pPr>
        <w:jc w:val="both"/>
        <w:rPr>
          <w:rFonts w:ascii="Times New Roman" w:hAnsi="Times New Roman" w:cs="Times New Roman"/>
          <w:sz w:val="26"/>
          <w:szCs w:val="26"/>
        </w:rPr>
      </w:pPr>
    </w:p>
    <w:p w:rsidR="00071A68" w:rsidRPr="00071A68" w:rsidRDefault="00071A68" w:rsidP="00071A68">
      <w:pPr>
        <w:rPr>
          <w:rFonts w:ascii="Times New Roman" w:hAnsi="Times New Roman" w:cs="Times New Roman"/>
          <w:i/>
          <w:iCs/>
          <w:lang w:eastAsia="ru-RU"/>
        </w:rPr>
      </w:pPr>
    </w:p>
    <w:p w:rsidR="00276D63" w:rsidRDefault="00276D63"/>
    <w:sectPr w:rsidR="00276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B6FC9"/>
    <w:multiLevelType w:val="multilevel"/>
    <w:tmpl w:val="5EA07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68"/>
    <w:rsid w:val="00071A68"/>
    <w:rsid w:val="00276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68"/>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1A68"/>
    <w:rPr>
      <w:color w:val="0563C1"/>
      <w:u w:val="single"/>
    </w:rPr>
  </w:style>
  <w:style w:type="paragraph" w:styleId="a4">
    <w:name w:val="Balloon Text"/>
    <w:basedOn w:val="a"/>
    <w:link w:val="a5"/>
    <w:uiPriority w:val="99"/>
    <w:semiHidden/>
    <w:unhideWhenUsed/>
    <w:rsid w:val="00071A68"/>
    <w:rPr>
      <w:rFonts w:ascii="Tahoma" w:hAnsi="Tahoma" w:cs="Tahoma"/>
      <w:sz w:val="16"/>
      <w:szCs w:val="16"/>
    </w:rPr>
  </w:style>
  <w:style w:type="character" w:customStyle="1" w:styleId="a5">
    <w:name w:val="Текст выноски Знак"/>
    <w:basedOn w:val="a0"/>
    <w:link w:val="a4"/>
    <w:uiPriority w:val="99"/>
    <w:semiHidden/>
    <w:rsid w:val="00071A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68"/>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1A68"/>
    <w:rPr>
      <w:color w:val="0563C1"/>
      <w:u w:val="single"/>
    </w:rPr>
  </w:style>
  <w:style w:type="paragraph" w:styleId="a4">
    <w:name w:val="Balloon Text"/>
    <w:basedOn w:val="a"/>
    <w:link w:val="a5"/>
    <w:uiPriority w:val="99"/>
    <w:semiHidden/>
    <w:unhideWhenUsed/>
    <w:rsid w:val="00071A68"/>
    <w:rPr>
      <w:rFonts w:ascii="Tahoma" w:hAnsi="Tahoma" w:cs="Tahoma"/>
      <w:sz w:val="16"/>
      <w:szCs w:val="16"/>
    </w:rPr>
  </w:style>
  <w:style w:type="character" w:customStyle="1" w:styleId="a5">
    <w:name w:val="Текст выноски Знак"/>
    <w:basedOn w:val="a0"/>
    <w:link w:val="a4"/>
    <w:uiPriority w:val="99"/>
    <w:semiHidden/>
    <w:rsid w:val="00071A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56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hotlaw/important/" TargetMode="External"/><Relationship Id="rId13" Type="http://schemas.openxmlformats.org/officeDocument/2006/relationships/hyperlink" Target="http://www.garant.ru/news/1281459/" TargetMode="External"/><Relationship Id="rId18" Type="http://schemas.openxmlformats.org/officeDocument/2006/relationships/hyperlink" Target="http://www.garant.ru/news/1282046/" TargetMode="External"/><Relationship Id="rId26" Type="http://schemas.openxmlformats.org/officeDocument/2006/relationships/hyperlink" Target="http://www.garant.ru/news/1279767/" TargetMode="External"/><Relationship Id="rId3" Type="http://schemas.microsoft.com/office/2007/relationships/stylesWithEffects" Target="stylesWithEffects.xml"/><Relationship Id="rId21" Type="http://schemas.openxmlformats.org/officeDocument/2006/relationships/hyperlink" Target="http://www.garant.ru/news/1282149/" TargetMode="External"/><Relationship Id="rId7" Type="http://schemas.openxmlformats.org/officeDocument/2006/relationships/hyperlink" Target="http://www.garant.ru/news/1281153/" TargetMode="External"/><Relationship Id="rId12" Type="http://schemas.openxmlformats.org/officeDocument/2006/relationships/hyperlink" Target="http://www.garant.ru/news/1281348/" TargetMode="External"/><Relationship Id="rId17" Type="http://schemas.openxmlformats.org/officeDocument/2006/relationships/hyperlink" Target="http://www.garant.ru/news/1281980/" TargetMode="External"/><Relationship Id="rId25" Type="http://schemas.openxmlformats.org/officeDocument/2006/relationships/hyperlink" Target="http://www.garant.ru/news/1280338/" TargetMode="External"/><Relationship Id="rId2" Type="http://schemas.openxmlformats.org/officeDocument/2006/relationships/styles" Target="styles.xml"/><Relationship Id="rId16" Type="http://schemas.openxmlformats.org/officeDocument/2006/relationships/hyperlink" Target="http://www.garant.ru/news/1281817/" TargetMode="External"/><Relationship Id="rId20" Type="http://schemas.openxmlformats.org/officeDocument/2006/relationships/hyperlink" Target="http://www.garant.ru/news/128201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arant.ru/hotlaw/important/" TargetMode="External"/><Relationship Id="rId11" Type="http://schemas.openxmlformats.org/officeDocument/2006/relationships/hyperlink" Target="http://www.garant.ru/news/1281344/" TargetMode="External"/><Relationship Id="rId24" Type="http://schemas.openxmlformats.org/officeDocument/2006/relationships/hyperlink" Target="https://docs.google.com/forms/d/e/1FAIpQLSdaBlSb4kCgV1qoOef8WGLYwkT3ZdEvJmB6u6ulIVHgbFFs0g/viewform?vc=0&amp;c=0&amp;w=1&amp;usp=mail_form_link" TargetMode="External"/><Relationship Id="rId5" Type="http://schemas.openxmlformats.org/officeDocument/2006/relationships/webSettings" Target="webSettings.xml"/><Relationship Id="rId15" Type="http://schemas.openxmlformats.org/officeDocument/2006/relationships/hyperlink" Target="http://www.garant.ru/news/1281458/" TargetMode="External"/><Relationship Id="rId23" Type="http://schemas.openxmlformats.org/officeDocument/2006/relationships/hyperlink" Target="https://pb.nalog.ru/calculator.html" TargetMode="External"/><Relationship Id="rId28" Type="http://schemas.openxmlformats.org/officeDocument/2006/relationships/fontTable" Target="fontTable.xml"/><Relationship Id="rId10" Type="http://schemas.openxmlformats.org/officeDocument/2006/relationships/hyperlink" Target="http://www.garant.ru/news/1281315/" TargetMode="External"/><Relationship Id="rId19" Type="http://schemas.openxmlformats.org/officeDocument/2006/relationships/hyperlink" Target="http://www.garant.ru/news/1282007/" TargetMode="External"/><Relationship Id="rId4" Type="http://schemas.openxmlformats.org/officeDocument/2006/relationships/settings" Target="settings.xml"/><Relationship Id="rId9" Type="http://schemas.openxmlformats.org/officeDocument/2006/relationships/hyperlink" Target="http://www.garant.ru/news/1281330/" TargetMode="External"/><Relationship Id="rId14" Type="http://schemas.openxmlformats.org/officeDocument/2006/relationships/hyperlink" Target="http://www.garant.ru/news/1281881/" TargetMode="External"/><Relationship Id="rId22" Type="http://schemas.openxmlformats.org/officeDocument/2006/relationships/hyperlink" Target="https://pb.nalog.ru/calculator.html" TargetMode="External"/><Relationship Id="rId27" Type="http://schemas.openxmlformats.org/officeDocument/2006/relationships/hyperlink" Target="http://www.garant.ru/news/12819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6455</Words>
  <Characters>36794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Волхонская</dc:creator>
  <cp:lastModifiedBy>Волхонская</cp:lastModifiedBy>
  <cp:revision>1</cp:revision>
  <dcterms:created xsi:type="dcterms:W3CDTF">2019-07-15T05:43:00Z</dcterms:created>
  <dcterms:modified xsi:type="dcterms:W3CDTF">2019-07-15T05:48:00Z</dcterms:modified>
</cp:coreProperties>
</file>